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3407D" w14:textId="77777777" w:rsidR="00FD3AF8" w:rsidRPr="00FD3AF8" w:rsidRDefault="00FD3AF8" w:rsidP="00D12DAA">
      <w:pPr>
        <w:jc w:val="right"/>
        <w:rPr>
          <w:rFonts w:ascii="Times New Roman" w:hAnsi="Times New Roman" w:cs="Times New Roman"/>
          <w:b/>
          <w:bCs/>
          <w:lang w:val="en-US"/>
        </w:rPr>
      </w:pPr>
      <w:r w:rsidRPr="00FD3AF8">
        <w:rPr>
          <w:rFonts w:ascii="Times New Roman" w:hAnsi="Times New Roman" w:cs="Times New Roman"/>
          <w:b/>
          <w:bCs/>
          <w:lang w:val="en-US"/>
        </w:rPr>
        <w:t>APPROVED</w:t>
      </w:r>
      <w:r w:rsidRPr="00FD3AF8">
        <w:rPr>
          <w:rFonts w:ascii="Times New Roman" w:hAnsi="Times New Roman" w:cs="Times New Roman"/>
          <w:b/>
          <w:bCs/>
          <w:lang w:val="en-US"/>
        </w:rPr>
        <w:br/>
        <w:t>pursuant to the resolution of the meeting</w:t>
      </w:r>
      <w:r w:rsidRPr="00FD3AF8">
        <w:rPr>
          <w:rFonts w:ascii="Times New Roman" w:hAnsi="Times New Roman" w:cs="Times New Roman"/>
          <w:b/>
          <w:bCs/>
          <w:lang w:val="en-US"/>
        </w:rPr>
        <w:br/>
        <w:t>of the Supervisory Board</w:t>
      </w:r>
      <w:r w:rsidRPr="00FD3AF8">
        <w:rPr>
          <w:rFonts w:ascii="Times New Roman" w:hAnsi="Times New Roman" w:cs="Times New Roman"/>
          <w:b/>
          <w:bCs/>
          <w:lang w:val="en-US"/>
        </w:rPr>
        <w:br/>
        <w:t>of JSC Republican Stock Exchange “Toshkent”</w:t>
      </w:r>
      <w:r w:rsidRPr="00FD3AF8">
        <w:rPr>
          <w:rFonts w:ascii="Times New Roman" w:hAnsi="Times New Roman" w:cs="Times New Roman"/>
          <w:b/>
          <w:bCs/>
          <w:lang w:val="en-US"/>
        </w:rPr>
        <w:br/>
        <w:t>dated 30 November 2023</w:t>
      </w:r>
    </w:p>
    <w:p w14:paraId="505E01E8" w14:textId="77777777" w:rsidR="00FD3AF8" w:rsidRPr="00FD3AF8" w:rsidRDefault="00FD3AF8" w:rsidP="00D12DAA">
      <w:pPr>
        <w:jc w:val="center"/>
        <w:rPr>
          <w:rFonts w:ascii="Times New Roman" w:hAnsi="Times New Roman" w:cs="Times New Roman"/>
          <w:b/>
          <w:bCs/>
          <w:sz w:val="24"/>
          <w:szCs w:val="24"/>
          <w:lang w:val="en-US"/>
        </w:rPr>
      </w:pPr>
      <w:r w:rsidRPr="00FD3AF8">
        <w:rPr>
          <w:rFonts w:ascii="Times New Roman" w:hAnsi="Times New Roman" w:cs="Times New Roman"/>
          <w:b/>
          <w:bCs/>
          <w:sz w:val="24"/>
          <w:szCs w:val="24"/>
          <w:lang w:val="en-US"/>
        </w:rPr>
        <w:t>REGULATION</w:t>
      </w:r>
      <w:r w:rsidRPr="00FD3AF8">
        <w:rPr>
          <w:rFonts w:ascii="Times New Roman" w:hAnsi="Times New Roman" w:cs="Times New Roman"/>
          <w:b/>
          <w:bCs/>
          <w:sz w:val="24"/>
          <w:szCs w:val="24"/>
          <w:lang w:val="en-US"/>
        </w:rPr>
        <w:br/>
        <w:t>on the Procedure for Introducing and Operating the Antimonopoly Compliance System</w:t>
      </w:r>
      <w:r w:rsidRPr="00FD3AF8">
        <w:rPr>
          <w:rFonts w:ascii="Times New Roman" w:hAnsi="Times New Roman" w:cs="Times New Roman"/>
          <w:b/>
          <w:bCs/>
          <w:sz w:val="24"/>
          <w:szCs w:val="24"/>
          <w:lang w:val="en-US"/>
        </w:rPr>
        <w:br/>
        <w:t>at JSC Republican Stock Exchange “Toshkent”</w:t>
      </w:r>
    </w:p>
    <w:p w14:paraId="417BFCEB" w14:textId="77777777" w:rsidR="00FD3AF8" w:rsidRPr="00FD3AF8" w:rsidRDefault="00FD3AF8" w:rsidP="00D12DAA">
      <w:pPr>
        <w:jc w:val="center"/>
        <w:rPr>
          <w:rFonts w:ascii="Times New Roman" w:hAnsi="Times New Roman" w:cs="Times New Roman"/>
          <w:b/>
          <w:bCs/>
          <w:sz w:val="24"/>
          <w:szCs w:val="24"/>
        </w:rPr>
      </w:pPr>
      <w:r w:rsidRPr="00FD3AF8">
        <w:rPr>
          <w:rFonts w:ascii="Times New Roman" w:hAnsi="Times New Roman" w:cs="Times New Roman"/>
          <w:b/>
          <w:bCs/>
          <w:sz w:val="24"/>
          <w:szCs w:val="24"/>
        </w:rPr>
        <w:t xml:space="preserve">General </w:t>
      </w:r>
      <w:proofErr w:type="spellStart"/>
      <w:r w:rsidRPr="00FD3AF8">
        <w:rPr>
          <w:rFonts w:ascii="Times New Roman" w:hAnsi="Times New Roman" w:cs="Times New Roman"/>
          <w:b/>
          <w:bCs/>
          <w:sz w:val="24"/>
          <w:szCs w:val="24"/>
        </w:rPr>
        <w:t>Provisions</w:t>
      </w:r>
      <w:proofErr w:type="spellEnd"/>
    </w:p>
    <w:p w14:paraId="582B8BB7" w14:textId="77777777" w:rsidR="00B26D28" w:rsidRPr="00B26D28" w:rsidRDefault="00FD3AF8" w:rsidP="00D12DAA">
      <w:pPr>
        <w:numPr>
          <w:ilvl w:val="0"/>
          <w:numId w:val="1"/>
        </w:numPr>
        <w:tabs>
          <w:tab w:val="clear" w:pos="720"/>
          <w:tab w:val="num" w:pos="426"/>
        </w:tabs>
        <w:ind w:left="567" w:firstLine="0"/>
        <w:jc w:val="both"/>
        <w:rPr>
          <w:rFonts w:ascii="Times New Roman" w:hAnsi="Times New Roman" w:cs="Times New Roman"/>
          <w:sz w:val="24"/>
          <w:szCs w:val="24"/>
          <w:lang w:val="en-US"/>
        </w:rPr>
      </w:pPr>
      <w:r w:rsidRPr="00B26D28">
        <w:rPr>
          <w:rFonts w:ascii="Times New Roman" w:hAnsi="Times New Roman" w:cs="Times New Roman"/>
          <w:sz w:val="24"/>
          <w:szCs w:val="24"/>
          <w:lang w:val="en-US"/>
        </w:rPr>
        <w:t xml:space="preserve">This Regulation determines the </w:t>
      </w:r>
      <w:r w:rsidR="00B26D28" w:rsidRPr="00B26D28">
        <w:rPr>
          <w:rFonts w:ascii="Times New Roman" w:hAnsi="Times New Roman" w:cs="Times New Roman"/>
          <w:sz w:val="24"/>
          <w:szCs w:val="24"/>
          <w:lang w:val="en-US"/>
        </w:rPr>
        <w:t>procedure for implementing, operating and monitoring the antimonopoly compliance system at Joint-Stock Company RFB “Toshkent” (hereinafter referred to as the “Exchange”).</w:t>
      </w:r>
    </w:p>
    <w:p w14:paraId="32828AE9" w14:textId="57830389" w:rsidR="00B26D28" w:rsidRPr="00B26D28" w:rsidRDefault="00B26D28" w:rsidP="00D12DAA">
      <w:pPr>
        <w:numPr>
          <w:ilvl w:val="0"/>
          <w:numId w:val="1"/>
        </w:numPr>
        <w:tabs>
          <w:tab w:val="clear" w:pos="720"/>
          <w:tab w:val="num" w:pos="426"/>
        </w:tabs>
        <w:ind w:left="567" w:firstLine="0"/>
        <w:jc w:val="both"/>
        <w:rPr>
          <w:rFonts w:ascii="Times New Roman" w:hAnsi="Times New Roman" w:cs="Times New Roman"/>
          <w:sz w:val="24"/>
          <w:szCs w:val="24"/>
          <w:lang w:val="en-US"/>
        </w:rPr>
      </w:pPr>
      <w:r w:rsidRPr="00B26D28">
        <w:rPr>
          <w:rFonts w:ascii="Times New Roman" w:hAnsi="Times New Roman" w:cs="Times New Roman"/>
          <w:sz w:val="24"/>
          <w:szCs w:val="24"/>
          <w:lang w:val="en-US"/>
        </w:rPr>
        <w:t>This Regulation uses the following key terms:</w:t>
      </w:r>
    </w:p>
    <w:p w14:paraId="377DE013" w14:textId="1A084D5D" w:rsidR="00FD3AF8" w:rsidRPr="00B26D28" w:rsidRDefault="0095689C" w:rsidP="00D12DAA">
      <w:pPr>
        <w:ind w:left="567"/>
        <w:jc w:val="both"/>
        <w:rPr>
          <w:rFonts w:ascii="Times New Roman" w:hAnsi="Times New Roman" w:cs="Times New Roman"/>
          <w:sz w:val="24"/>
          <w:szCs w:val="24"/>
          <w:lang w:val="en-US"/>
        </w:rPr>
      </w:pPr>
      <w:r w:rsidRPr="0095689C">
        <w:rPr>
          <w:rFonts w:ascii="Times New Roman" w:hAnsi="Times New Roman" w:cs="Times New Roman"/>
          <w:b/>
          <w:bCs/>
          <w:sz w:val="24"/>
          <w:szCs w:val="24"/>
          <w:lang w:val="en-US"/>
        </w:rPr>
        <w:t xml:space="preserve">competition authority </w:t>
      </w:r>
      <w:r w:rsidR="00FD3AF8">
        <w:rPr>
          <w:rFonts w:ascii="Times New Roman" w:hAnsi="Times New Roman" w:cs="Times New Roman"/>
          <w:sz w:val="24"/>
          <w:szCs w:val="24"/>
          <w:lang w:val="en-US"/>
        </w:rPr>
        <w:t>-</w:t>
      </w:r>
      <w:r w:rsidR="00FD3AF8" w:rsidRPr="00FD3AF8">
        <w:rPr>
          <w:rFonts w:ascii="Times New Roman" w:hAnsi="Times New Roman" w:cs="Times New Roman"/>
          <w:sz w:val="24"/>
          <w:szCs w:val="24"/>
          <w:lang w:val="en-US"/>
        </w:rPr>
        <w:t xml:space="preserve"> the Committee for the Development of Competition and Consumer Rights </w:t>
      </w:r>
      <w:r w:rsidR="00B26D28" w:rsidRPr="00FD3AF8">
        <w:rPr>
          <w:rFonts w:ascii="Times New Roman" w:hAnsi="Times New Roman" w:cs="Times New Roman"/>
          <w:sz w:val="24"/>
          <w:szCs w:val="24"/>
          <w:lang w:val="en-US"/>
        </w:rPr>
        <w:t xml:space="preserve">Protection </w:t>
      </w:r>
      <w:r w:rsidR="00FD3AF8" w:rsidRPr="00FD3AF8">
        <w:rPr>
          <w:rFonts w:ascii="Times New Roman" w:hAnsi="Times New Roman" w:cs="Times New Roman"/>
          <w:sz w:val="24"/>
          <w:szCs w:val="24"/>
          <w:lang w:val="en-US"/>
        </w:rPr>
        <w:t>of the Republic of Uzbekistan and its regional departments;</w:t>
      </w:r>
    </w:p>
    <w:p w14:paraId="4C2D49A4" w14:textId="0128901F" w:rsidR="0095689C" w:rsidRPr="00084B51" w:rsidRDefault="00FD3AF8" w:rsidP="00D12DAA">
      <w:pPr>
        <w:ind w:left="567"/>
        <w:jc w:val="both"/>
        <w:rPr>
          <w:rFonts w:ascii="Times New Roman" w:hAnsi="Times New Roman" w:cs="Times New Roman"/>
          <w:b/>
          <w:bCs/>
          <w:sz w:val="24"/>
          <w:szCs w:val="24"/>
          <w:lang w:val="en-US"/>
        </w:rPr>
      </w:pPr>
      <w:r w:rsidRPr="00FD3AF8">
        <w:rPr>
          <w:rFonts w:ascii="Times New Roman" w:hAnsi="Times New Roman" w:cs="Times New Roman"/>
          <w:b/>
          <w:bCs/>
          <w:sz w:val="24"/>
          <w:szCs w:val="24"/>
          <w:lang w:val="en-US"/>
        </w:rPr>
        <w:t>antimonopoly compliance</w:t>
      </w:r>
      <w:r w:rsidRPr="00FD3AF8">
        <w:rPr>
          <w:rFonts w:ascii="Times New Roman" w:hAnsi="Times New Roman" w:cs="Times New Roman"/>
          <w:sz w:val="24"/>
          <w:szCs w:val="24"/>
          <w:lang w:val="en-US"/>
        </w:rPr>
        <w:t xml:space="preserve"> </w:t>
      </w:r>
      <w:r w:rsidR="0095689C">
        <w:rPr>
          <w:rFonts w:ascii="Times New Roman" w:hAnsi="Times New Roman" w:cs="Times New Roman"/>
          <w:sz w:val="24"/>
          <w:szCs w:val="24"/>
          <w:lang w:val="en-US"/>
        </w:rPr>
        <w:t>-</w:t>
      </w:r>
      <w:r w:rsidR="0095689C" w:rsidRPr="00FD3AF8">
        <w:rPr>
          <w:rFonts w:ascii="Times New Roman" w:hAnsi="Times New Roman" w:cs="Times New Roman"/>
          <w:sz w:val="24"/>
          <w:szCs w:val="24"/>
          <w:lang w:val="en-US"/>
        </w:rPr>
        <w:t xml:space="preserve"> </w:t>
      </w:r>
      <w:r w:rsidR="0095689C" w:rsidRPr="0095689C">
        <w:rPr>
          <w:rFonts w:ascii="Times New Roman" w:hAnsi="Times New Roman" w:cs="Times New Roman"/>
          <w:sz w:val="24"/>
          <w:szCs w:val="24"/>
          <w:lang w:val="en-US"/>
        </w:rPr>
        <w:t xml:space="preserve">a system of internal organizational measures and procedures to ensure that activities comply with competition law, identify risks of their </w:t>
      </w:r>
      <w:r w:rsidR="007F2258">
        <w:rPr>
          <w:rFonts w:ascii="Times New Roman" w:hAnsi="Times New Roman" w:cs="Times New Roman"/>
          <w:sz w:val="24"/>
          <w:szCs w:val="24"/>
          <w:lang w:val="en-US"/>
        </w:rPr>
        <w:t>infringement</w:t>
      </w:r>
      <w:r w:rsidR="0095689C" w:rsidRPr="0095689C">
        <w:rPr>
          <w:rFonts w:ascii="Times New Roman" w:hAnsi="Times New Roman" w:cs="Times New Roman"/>
          <w:sz w:val="24"/>
          <w:szCs w:val="24"/>
          <w:lang w:val="en-US"/>
        </w:rPr>
        <w:t xml:space="preserve"> and prevent these risks;</w:t>
      </w:r>
    </w:p>
    <w:p w14:paraId="61367A75" w14:textId="11BE56CA" w:rsidR="00FD3AF8" w:rsidRPr="0095689C" w:rsidRDefault="00FD3AF8" w:rsidP="00D12DAA">
      <w:pPr>
        <w:ind w:left="567"/>
        <w:jc w:val="both"/>
        <w:rPr>
          <w:rFonts w:ascii="Times New Roman" w:hAnsi="Times New Roman" w:cs="Times New Roman"/>
          <w:sz w:val="24"/>
          <w:szCs w:val="24"/>
          <w:lang w:val="en-US"/>
        </w:rPr>
      </w:pPr>
      <w:r w:rsidRPr="00FD3AF8">
        <w:rPr>
          <w:rFonts w:ascii="Times New Roman" w:hAnsi="Times New Roman" w:cs="Times New Roman"/>
          <w:b/>
          <w:bCs/>
          <w:sz w:val="24"/>
          <w:szCs w:val="24"/>
          <w:lang w:val="en-US"/>
        </w:rPr>
        <w:t>antimonopoly compliance</w:t>
      </w:r>
      <w:r w:rsidRPr="00FD3AF8">
        <w:rPr>
          <w:rFonts w:ascii="Times New Roman" w:hAnsi="Times New Roman" w:cs="Times New Roman"/>
          <w:sz w:val="24"/>
          <w:szCs w:val="24"/>
          <w:lang w:val="en-US"/>
        </w:rPr>
        <w:t xml:space="preserve"> </w:t>
      </w:r>
      <w:r w:rsidR="0095689C" w:rsidRPr="00FD3AF8">
        <w:rPr>
          <w:rFonts w:ascii="Times New Roman" w:hAnsi="Times New Roman" w:cs="Times New Roman"/>
          <w:b/>
          <w:bCs/>
          <w:sz w:val="24"/>
          <w:szCs w:val="24"/>
          <w:lang w:val="en-US"/>
        </w:rPr>
        <w:t>report</w:t>
      </w:r>
      <w:r w:rsidR="0095689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D3AF8">
        <w:rPr>
          <w:rFonts w:ascii="Times New Roman" w:hAnsi="Times New Roman" w:cs="Times New Roman"/>
          <w:sz w:val="24"/>
          <w:szCs w:val="24"/>
          <w:lang w:val="en-US"/>
        </w:rPr>
        <w:t xml:space="preserve"> </w:t>
      </w:r>
      <w:r w:rsidR="006E2F79" w:rsidRPr="006E2F79">
        <w:rPr>
          <w:rFonts w:ascii="Times New Roman" w:hAnsi="Times New Roman" w:cs="Times New Roman"/>
          <w:sz w:val="24"/>
          <w:szCs w:val="24"/>
          <w:lang w:val="en-US"/>
        </w:rPr>
        <w:t xml:space="preserve">a document containing information </w:t>
      </w:r>
      <w:r w:rsidR="00717F5C" w:rsidRPr="00717F5C">
        <w:rPr>
          <w:rFonts w:ascii="Times New Roman" w:hAnsi="Times New Roman" w:cs="Times New Roman"/>
          <w:sz w:val="24"/>
          <w:szCs w:val="24"/>
          <w:lang w:val="en-US"/>
        </w:rPr>
        <w:t>on the arrangements for ensuring compliance with the competition law</w:t>
      </w:r>
      <w:r w:rsidR="006E2F79" w:rsidRPr="006E2F79">
        <w:rPr>
          <w:rFonts w:ascii="Times New Roman" w:hAnsi="Times New Roman" w:cs="Times New Roman"/>
          <w:sz w:val="24"/>
          <w:szCs w:val="24"/>
          <w:lang w:val="en-US"/>
        </w:rPr>
        <w:t>;</w:t>
      </w:r>
    </w:p>
    <w:p w14:paraId="0204C222" w14:textId="33DB2F53" w:rsidR="00FD3AF8" w:rsidRPr="00FD3AF8" w:rsidRDefault="00FD3AF8" w:rsidP="00D12DAA">
      <w:pPr>
        <w:ind w:left="567"/>
        <w:jc w:val="both"/>
        <w:rPr>
          <w:rFonts w:ascii="Times New Roman" w:hAnsi="Times New Roman" w:cs="Times New Roman"/>
          <w:sz w:val="24"/>
          <w:szCs w:val="24"/>
          <w:lang w:val="en-US"/>
        </w:rPr>
      </w:pPr>
      <w:r w:rsidRPr="00FD3AF8">
        <w:rPr>
          <w:rFonts w:ascii="Times New Roman" w:hAnsi="Times New Roman" w:cs="Times New Roman"/>
          <w:b/>
          <w:bCs/>
          <w:sz w:val="24"/>
          <w:szCs w:val="24"/>
          <w:lang w:val="en-US"/>
        </w:rPr>
        <w:t>authorized person (department)</w:t>
      </w:r>
      <w:r w:rsidRPr="00FD3AF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D3AF8">
        <w:rPr>
          <w:rFonts w:ascii="Times New Roman" w:hAnsi="Times New Roman" w:cs="Times New Roman"/>
          <w:sz w:val="24"/>
          <w:szCs w:val="24"/>
          <w:lang w:val="en-US"/>
        </w:rPr>
        <w:t xml:space="preserve"> the compliance manager, chief methodology specialist and </w:t>
      </w:r>
      <w:r w:rsidR="006E2F79" w:rsidRPr="006E2F79">
        <w:rPr>
          <w:rFonts w:ascii="Times New Roman" w:hAnsi="Times New Roman" w:cs="Times New Roman"/>
          <w:sz w:val="24"/>
          <w:szCs w:val="24"/>
          <w:lang w:val="en-US"/>
        </w:rPr>
        <w:t xml:space="preserve">legal adviser </w:t>
      </w:r>
      <w:r w:rsidRPr="00FD3AF8">
        <w:rPr>
          <w:rFonts w:ascii="Times New Roman" w:hAnsi="Times New Roman" w:cs="Times New Roman"/>
          <w:sz w:val="24"/>
          <w:szCs w:val="24"/>
          <w:lang w:val="en-US"/>
        </w:rPr>
        <w:t xml:space="preserve">of </w:t>
      </w:r>
      <w:r w:rsidR="006E2F79">
        <w:rPr>
          <w:rFonts w:ascii="Times New Roman" w:hAnsi="Times New Roman" w:cs="Times New Roman"/>
          <w:sz w:val="24"/>
          <w:szCs w:val="24"/>
          <w:lang w:val="en-US"/>
        </w:rPr>
        <w:t>JSC</w:t>
      </w:r>
      <w:r w:rsidRPr="00FD3AF8">
        <w:rPr>
          <w:rFonts w:ascii="Times New Roman" w:hAnsi="Times New Roman" w:cs="Times New Roman"/>
          <w:sz w:val="24"/>
          <w:szCs w:val="24"/>
          <w:lang w:val="en-US"/>
        </w:rPr>
        <w:t xml:space="preserve"> Republican Stock Exchange “Toshkent”;</w:t>
      </w:r>
    </w:p>
    <w:p w14:paraId="0B984DD9" w14:textId="58B5417F" w:rsidR="00FD3AF8" w:rsidRPr="00FD3AF8" w:rsidRDefault="00FD3AF8" w:rsidP="00D12DAA">
      <w:pPr>
        <w:ind w:left="567"/>
        <w:jc w:val="both"/>
        <w:rPr>
          <w:rFonts w:ascii="Times New Roman" w:hAnsi="Times New Roman" w:cs="Times New Roman"/>
          <w:sz w:val="24"/>
          <w:szCs w:val="24"/>
          <w:lang w:val="en-US"/>
        </w:rPr>
      </w:pPr>
      <w:r w:rsidRPr="00FD3AF8">
        <w:rPr>
          <w:rFonts w:ascii="Times New Roman" w:hAnsi="Times New Roman" w:cs="Times New Roman"/>
          <w:b/>
          <w:bCs/>
          <w:sz w:val="24"/>
          <w:szCs w:val="24"/>
          <w:lang w:val="en-US"/>
        </w:rPr>
        <w:t>trad</w:t>
      </w:r>
      <w:r w:rsidR="001C5C6F">
        <w:rPr>
          <w:rFonts w:ascii="Times New Roman" w:hAnsi="Times New Roman" w:cs="Times New Roman"/>
          <w:b/>
          <w:bCs/>
          <w:sz w:val="24"/>
          <w:szCs w:val="24"/>
          <w:lang w:val="en-US"/>
        </w:rPr>
        <w:t>ing procedures</w:t>
      </w:r>
      <w:r w:rsidRPr="00FD3AF8">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FD3AF8">
        <w:rPr>
          <w:rFonts w:ascii="Times New Roman" w:hAnsi="Times New Roman" w:cs="Times New Roman"/>
          <w:sz w:val="24"/>
          <w:szCs w:val="24"/>
          <w:lang w:val="en-US"/>
        </w:rPr>
        <w:t xml:space="preserve"> procedures </w:t>
      </w:r>
      <w:r w:rsidR="001C5C6F" w:rsidRPr="001C5C6F">
        <w:rPr>
          <w:rFonts w:ascii="Times New Roman" w:hAnsi="Times New Roman" w:cs="Times New Roman"/>
          <w:sz w:val="24"/>
          <w:szCs w:val="24"/>
          <w:lang w:val="en-US"/>
        </w:rPr>
        <w:t>for the purchase and sale of goods and services</w:t>
      </w:r>
      <w:r w:rsidRPr="00FD3AF8">
        <w:rPr>
          <w:rFonts w:ascii="Times New Roman" w:hAnsi="Times New Roman" w:cs="Times New Roman"/>
          <w:sz w:val="24"/>
          <w:szCs w:val="24"/>
          <w:lang w:val="en-US"/>
        </w:rPr>
        <w:t>, including electronic trading procedures.</w:t>
      </w:r>
    </w:p>
    <w:p w14:paraId="6CEF39D9" w14:textId="4B504677" w:rsidR="00FD3AF8" w:rsidRPr="00FD3AF8" w:rsidRDefault="00F81498" w:rsidP="00D12DAA">
      <w:pPr>
        <w:ind w:left="567"/>
        <w:jc w:val="both"/>
        <w:rPr>
          <w:rFonts w:ascii="Times New Roman" w:hAnsi="Times New Roman" w:cs="Times New Roman"/>
          <w:sz w:val="24"/>
          <w:szCs w:val="24"/>
          <w:lang w:val="en-US"/>
        </w:rPr>
      </w:pPr>
      <w:r w:rsidRPr="00F81498">
        <w:rPr>
          <w:rFonts w:ascii="Times New Roman" w:hAnsi="Times New Roman" w:cs="Times New Roman"/>
          <w:sz w:val="24"/>
          <w:szCs w:val="24"/>
          <w:lang w:val="en-US"/>
        </w:rPr>
        <w:t xml:space="preserve">3. </w:t>
      </w:r>
      <w:r w:rsidR="00FD3AF8" w:rsidRPr="00FD3AF8">
        <w:rPr>
          <w:rFonts w:ascii="Times New Roman" w:hAnsi="Times New Roman" w:cs="Times New Roman"/>
          <w:sz w:val="24"/>
          <w:szCs w:val="24"/>
          <w:lang w:val="en-US"/>
        </w:rPr>
        <w:t>The main objectives of the antimonopoly compliance system are</w:t>
      </w:r>
      <w:r w:rsidR="00084B51" w:rsidRPr="00084B51">
        <w:rPr>
          <w:rFonts w:ascii="Times New Roman" w:hAnsi="Times New Roman" w:cs="Times New Roman"/>
          <w:sz w:val="24"/>
          <w:szCs w:val="24"/>
          <w:lang w:val="en-US"/>
        </w:rPr>
        <w:t xml:space="preserve"> </w:t>
      </w:r>
      <w:r w:rsidR="00084B51">
        <w:rPr>
          <w:rFonts w:ascii="Times New Roman" w:hAnsi="Times New Roman" w:cs="Times New Roman"/>
          <w:sz w:val="24"/>
          <w:szCs w:val="24"/>
          <w:lang w:val="en-US"/>
        </w:rPr>
        <w:t>to</w:t>
      </w:r>
      <w:r w:rsidR="00FD3AF8" w:rsidRPr="00FD3AF8">
        <w:rPr>
          <w:rFonts w:ascii="Times New Roman" w:hAnsi="Times New Roman" w:cs="Times New Roman"/>
          <w:sz w:val="24"/>
          <w:szCs w:val="24"/>
          <w:lang w:val="en-US"/>
        </w:rPr>
        <w:t>:</w:t>
      </w:r>
    </w:p>
    <w:p w14:paraId="66BCDF1A" w14:textId="63B29B5C" w:rsidR="00084B51" w:rsidRPr="00084B51" w:rsidRDefault="00084B51" w:rsidP="00D12DAA">
      <w:pPr>
        <w:spacing w:after="0" w:line="240" w:lineRule="auto"/>
        <w:ind w:left="567"/>
        <w:jc w:val="both"/>
        <w:rPr>
          <w:rFonts w:ascii="Times New Roman" w:eastAsia="Times New Roman" w:hAnsi="Times New Roman" w:cs="Times New Roman"/>
          <w:kern w:val="0"/>
          <w:sz w:val="24"/>
          <w:szCs w:val="24"/>
          <w:lang w:val="en-US" w:eastAsia="ru-RU"/>
          <w14:ligatures w14:val="none"/>
        </w:rPr>
      </w:pPr>
      <w:r w:rsidRPr="00084B51">
        <w:rPr>
          <w:rFonts w:ascii="Times New Roman" w:eastAsia="Times New Roman" w:hAnsi="Times New Roman" w:cs="Times New Roman"/>
          <w:kern w:val="0"/>
          <w:sz w:val="24"/>
          <w:szCs w:val="24"/>
          <w:lang w:val="en-US" w:eastAsia="ru-RU"/>
          <w14:ligatures w14:val="none"/>
        </w:rPr>
        <w:t>identify, assess and manage the risks of infringing competition law;</w:t>
      </w:r>
    </w:p>
    <w:p w14:paraId="76C7D5D6" w14:textId="55FF16C0" w:rsidR="00084B51" w:rsidRPr="00084B51" w:rsidRDefault="00084B51" w:rsidP="00D12DAA">
      <w:pPr>
        <w:spacing w:after="0" w:line="240" w:lineRule="auto"/>
        <w:ind w:left="567"/>
        <w:jc w:val="both"/>
        <w:rPr>
          <w:rFonts w:ascii="Times New Roman" w:eastAsia="Times New Roman" w:hAnsi="Times New Roman" w:cs="Times New Roman"/>
          <w:kern w:val="0"/>
          <w:sz w:val="24"/>
          <w:szCs w:val="24"/>
          <w:lang w:val="en-US" w:eastAsia="ru-RU"/>
          <w14:ligatures w14:val="none"/>
        </w:rPr>
      </w:pPr>
      <w:r w:rsidRPr="00084B51">
        <w:rPr>
          <w:rFonts w:ascii="Times New Roman" w:eastAsia="Times New Roman" w:hAnsi="Times New Roman" w:cs="Times New Roman"/>
          <w:kern w:val="0"/>
          <w:sz w:val="24"/>
          <w:szCs w:val="24"/>
          <w:lang w:val="en-US" w:eastAsia="ru-RU"/>
          <w14:ligatures w14:val="none"/>
        </w:rPr>
        <w:t>ensure and monitor the Exchange's compliance with competition law;</w:t>
      </w:r>
    </w:p>
    <w:p w14:paraId="6B637A6F" w14:textId="3618A708" w:rsidR="00084B51" w:rsidRPr="00084B51" w:rsidRDefault="00084B51" w:rsidP="00D12DAA">
      <w:pPr>
        <w:spacing w:after="0" w:line="240" w:lineRule="auto"/>
        <w:ind w:left="567"/>
        <w:jc w:val="both"/>
        <w:rPr>
          <w:rFonts w:ascii="Times New Roman" w:eastAsia="Times New Roman" w:hAnsi="Times New Roman" w:cs="Times New Roman"/>
          <w:kern w:val="0"/>
          <w:sz w:val="24"/>
          <w:szCs w:val="24"/>
          <w:lang w:val="en-US" w:eastAsia="ru-RU"/>
          <w14:ligatures w14:val="none"/>
        </w:rPr>
      </w:pPr>
      <w:r w:rsidRPr="00084B51">
        <w:rPr>
          <w:rFonts w:ascii="Times New Roman" w:eastAsia="Times New Roman" w:hAnsi="Times New Roman" w:cs="Times New Roman"/>
          <w:kern w:val="0"/>
          <w:sz w:val="24"/>
          <w:szCs w:val="24"/>
          <w:lang w:val="en-US" w:eastAsia="ru-RU"/>
          <w14:ligatures w14:val="none"/>
        </w:rPr>
        <w:t>prevent infringements of competition law by the Exchange and ensure that its executives do not engage in anticompetitive conduct in the performance of their duties;</w:t>
      </w:r>
    </w:p>
    <w:p w14:paraId="625CF2BA" w14:textId="6ACCAB3B" w:rsidR="00084B51" w:rsidRPr="00084B51" w:rsidRDefault="00084B51" w:rsidP="00D12DAA">
      <w:pPr>
        <w:spacing w:after="0" w:line="240" w:lineRule="auto"/>
        <w:ind w:left="567"/>
        <w:jc w:val="both"/>
        <w:rPr>
          <w:rFonts w:ascii="Times New Roman" w:eastAsia="Times New Roman" w:hAnsi="Times New Roman" w:cs="Times New Roman"/>
          <w:kern w:val="0"/>
          <w:sz w:val="24"/>
          <w:szCs w:val="24"/>
          <w:lang w:val="en-US" w:eastAsia="ru-RU"/>
          <w14:ligatures w14:val="none"/>
        </w:rPr>
      </w:pPr>
      <w:r w:rsidRPr="00084B51">
        <w:rPr>
          <w:rFonts w:ascii="Times New Roman" w:eastAsia="Times New Roman" w:hAnsi="Times New Roman" w:cs="Times New Roman"/>
          <w:kern w:val="0"/>
          <w:sz w:val="24"/>
          <w:szCs w:val="24"/>
          <w:lang w:val="en-US" w:eastAsia="ru-RU"/>
          <w14:ligatures w14:val="none"/>
        </w:rPr>
        <w:t>assess and maintain the effective operation of the Exchange's antimonopoly compliance system;</w:t>
      </w:r>
    </w:p>
    <w:p w14:paraId="53E6AB0C" w14:textId="2248C714" w:rsidR="00084B51" w:rsidRPr="007F2258" w:rsidRDefault="00084B51" w:rsidP="00D12DAA">
      <w:pPr>
        <w:ind w:left="567"/>
        <w:jc w:val="both"/>
        <w:rPr>
          <w:rFonts w:ascii="Times New Roman" w:hAnsi="Times New Roman" w:cs="Times New Roman"/>
          <w:b/>
          <w:bCs/>
          <w:sz w:val="24"/>
          <w:szCs w:val="24"/>
          <w:lang w:val="en-US"/>
        </w:rPr>
      </w:pPr>
      <w:r w:rsidRPr="00084B51">
        <w:rPr>
          <w:rFonts w:ascii="Times New Roman" w:eastAsia="Times New Roman" w:hAnsi="Times New Roman" w:cs="Times New Roman"/>
          <w:kern w:val="0"/>
          <w:sz w:val="24"/>
          <w:szCs w:val="24"/>
          <w:lang w:val="en-US" w:eastAsia="ru-RU"/>
          <w14:ligatures w14:val="none"/>
        </w:rPr>
        <w:t>raise employees' awareness of competition law through training designed to prevent infringements, and provide for their regular professional development in this area.</w:t>
      </w:r>
    </w:p>
    <w:p w14:paraId="3B7EB035" w14:textId="77777777" w:rsidR="007F2258" w:rsidRPr="007F2258" w:rsidRDefault="007F2258" w:rsidP="007F2258">
      <w:pPr>
        <w:tabs>
          <w:tab w:val="num" w:pos="567"/>
        </w:tabs>
        <w:ind w:left="567"/>
        <w:jc w:val="center"/>
        <w:rPr>
          <w:rFonts w:ascii="Times New Roman" w:hAnsi="Times New Roman" w:cs="Times New Roman"/>
          <w:sz w:val="24"/>
          <w:szCs w:val="24"/>
          <w:lang w:val="en-US"/>
        </w:rPr>
      </w:pPr>
      <w:r w:rsidRPr="007F2258">
        <w:rPr>
          <w:rFonts w:ascii="Times New Roman" w:hAnsi="Times New Roman" w:cs="Times New Roman"/>
          <w:b/>
          <w:bCs/>
          <w:sz w:val="24"/>
          <w:szCs w:val="24"/>
          <w:lang w:val="en-US"/>
        </w:rPr>
        <w:t>Organization of the antimonopoly compliance system</w:t>
      </w:r>
    </w:p>
    <w:p w14:paraId="6D015C55" w14:textId="490E0FBD" w:rsidR="00FD3AF8" w:rsidRPr="00FD3AF8" w:rsidRDefault="00FD3AF8" w:rsidP="00D12DAA">
      <w:pPr>
        <w:numPr>
          <w:ilvl w:val="0"/>
          <w:numId w:val="3"/>
        </w:numPr>
        <w:tabs>
          <w:tab w:val="clear" w:pos="720"/>
          <w:tab w:val="num" w:pos="567"/>
        </w:tabs>
        <w:ind w:left="567" w:firstLine="0"/>
        <w:jc w:val="both"/>
        <w:rPr>
          <w:rFonts w:ascii="Times New Roman" w:hAnsi="Times New Roman" w:cs="Times New Roman"/>
          <w:sz w:val="24"/>
          <w:szCs w:val="24"/>
        </w:rPr>
      </w:pPr>
      <w:r w:rsidRPr="00FD3AF8">
        <w:rPr>
          <w:rFonts w:ascii="Times New Roman" w:hAnsi="Times New Roman" w:cs="Times New Roman"/>
          <w:sz w:val="24"/>
          <w:szCs w:val="24"/>
        </w:rPr>
        <w:t xml:space="preserve">The </w:t>
      </w:r>
      <w:proofErr w:type="spellStart"/>
      <w:r w:rsidRPr="00FD3AF8">
        <w:rPr>
          <w:rFonts w:ascii="Times New Roman" w:hAnsi="Times New Roman" w:cs="Times New Roman"/>
          <w:sz w:val="24"/>
          <w:szCs w:val="24"/>
        </w:rPr>
        <w:t>authori</w:t>
      </w:r>
      <w:proofErr w:type="spellEnd"/>
      <w:r w:rsidR="00084B51">
        <w:rPr>
          <w:rFonts w:ascii="Times New Roman" w:hAnsi="Times New Roman" w:cs="Times New Roman"/>
          <w:sz w:val="24"/>
          <w:szCs w:val="24"/>
          <w:lang w:val="en-US"/>
        </w:rPr>
        <w:t>z</w:t>
      </w:r>
      <w:proofErr w:type="spellStart"/>
      <w:r w:rsidRPr="00FD3AF8">
        <w:rPr>
          <w:rFonts w:ascii="Times New Roman" w:hAnsi="Times New Roman" w:cs="Times New Roman"/>
          <w:sz w:val="24"/>
          <w:szCs w:val="24"/>
        </w:rPr>
        <w:t>ed</w:t>
      </w:r>
      <w:proofErr w:type="spellEnd"/>
      <w:r w:rsidRPr="00FD3AF8">
        <w:rPr>
          <w:rFonts w:ascii="Times New Roman" w:hAnsi="Times New Roman" w:cs="Times New Roman"/>
          <w:sz w:val="24"/>
          <w:szCs w:val="24"/>
        </w:rPr>
        <w:t xml:space="preserve"> </w:t>
      </w:r>
      <w:proofErr w:type="spellStart"/>
      <w:r w:rsidRPr="00FD3AF8">
        <w:rPr>
          <w:rFonts w:ascii="Times New Roman" w:hAnsi="Times New Roman" w:cs="Times New Roman"/>
          <w:sz w:val="24"/>
          <w:szCs w:val="24"/>
        </w:rPr>
        <w:t>person</w:t>
      </w:r>
      <w:proofErr w:type="spellEnd"/>
      <w:r w:rsidRPr="00FD3AF8">
        <w:rPr>
          <w:rFonts w:ascii="Times New Roman" w:hAnsi="Times New Roman" w:cs="Times New Roman"/>
          <w:sz w:val="24"/>
          <w:szCs w:val="24"/>
        </w:rPr>
        <w:t xml:space="preserve"> </w:t>
      </w:r>
      <w:proofErr w:type="spellStart"/>
      <w:r w:rsidRPr="00FD3AF8">
        <w:rPr>
          <w:rFonts w:ascii="Times New Roman" w:hAnsi="Times New Roman" w:cs="Times New Roman"/>
          <w:sz w:val="24"/>
          <w:szCs w:val="24"/>
        </w:rPr>
        <w:t>shall</w:t>
      </w:r>
      <w:proofErr w:type="spellEnd"/>
      <w:r w:rsidRPr="00FD3AF8">
        <w:rPr>
          <w:rFonts w:ascii="Times New Roman" w:hAnsi="Times New Roman" w:cs="Times New Roman"/>
          <w:sz w:val="24"/>
          <w:szCs w:val="24"/>
        </w:rPr>
        <w:t>:</w:t>
      </w:r>
    </w:p>
    <w:p w14:paraId="02A7065D" w14:textId="77777777" w:rsidR="00244565" w:rsidRDefault="00244565" w:rsidP="00D12DAA">
      <w:pPr>
        <w:pStyle w:val="ac"/>
        <w:tabs>
          <w:tab w:val="num" w:pos="567"/>
        </w:tabs>
        <w:ind w:left="567"/>
        <w:jc w:val="both"/>
        <w:rPr>
          <w:lang w:eastAsia="ru-RU"/>
        </w:rPr>
      </w:pPr>
      <w:r>
        <w:rPr>
          <w:lang w:eastAsia="ru-RU"/>
        </w:rPr>
        <w:t>monitor compliance with competition law;</w:t>
      </w:r>
    </w:p>
    <w:p w14:paraId="5CABD6CE" w14:textId="0C94F3EC" w:rsidR="00244565" w:rsidRPr="00244565" w:rsidRDefault="00244565" w:rsidP="00D12DAA">
      <w:pPr>
        <w:pStyle w:val="ac"/>
        <w:tabs>
          <w:tab w:val="num" w:pos="567"/>
        </w:tabs>
        <w:ind w:left="567"/>
        <w:jc w:val="both"/>
        <w:rPr>
          <w:lang w:eastAsia="ru-RU"/>
        </w:rPr>
      </w:pPr>
      <w:r w:rsidRPr="00244565">
        <w:rPr>
          <w:lang w:eastAsia="ru-RU"/>
        </w:rPr>
        <w:t>analyze materials relating to the Exchange's activities (including a</w:t>
      </w:r>
      <w:r w:rsidR="00995102">
        <w:rPr>
          <w:lang w:eastAsia="ru-RU"/>
        </w:rPr>
        <w:t xml:space="preserve"> systematic</w:t>
      </w:r>
      <w:r w:rsidR="00995102" w:rsidRPr="00995102">
        <w:rPr>
          <w:lang w:eastAsia="ru-RU"/>
        </w:rPr>
        <w:t xml:space="preserve"> </w:t>
      </w:r>
      <w:r w:rsidR="00995102">
        <w:rPr>
          <w:lang w:eastAsia="ru-RU"/>
        </w:rPr>
        <w:t xml:space="preserve">review </w:t>
      </w:r>
      <w:r w:rsidRPr="00244565">
        <w:rPr>
          <w:lang w:eastAsia="ru-RU"/>
        </w:rPr>
        <w:t>of its internal documents to identify provisions that restrict, or may restrict, competition or the rights and interests of consumers), and develop measures to remedy any deficiencies identified;</w:t>
      </w:r>
    </w:p>
    <w:p w14:paraId="475C7F72" w14:textId="77777777" w:rsidR="00244565" w:rsidRDefault="00244565" w:rsidP="00D12DAA">
      <w:pPr>
        <w:pStyle w:val="ac"/>
        <w:tabs>
          <w:tab w:val="num" w:pos="567"/>
        </w:tabs>
        <w:ind w:left="567"/>
        <w:jc w:val="both"/>
        <w:rPr>
          <w:lang w:eastAsia="ru-RU"/>
        </w:rPr>
      </w:pPr>
      <w:r>
        <w:rPr>
          <w:lang w:eastAsia="ru-RU"/>
        </w:rPr>
        <w:lastRenderedPageBreak/>
        <w:t>identify factors that may lead to a restriction of competition and develop proposals to eliminate them;</w:t>
      </w:r>
    </w:p>
    <w:p w14:paraId="42920464" w14:textId="77777777" w:rsidR="00244565" w:rsidRDefault="00244565" w:rsidP="00D12DAA">
      <w:pPr>
        <w:pStyle w:val="ac"/>
        <w:tabs>
          <w:tab w:val="num" w:pos="567"/>
        </w:tabs>
        <w:ind w:left="567"/>
        <w:jc w:val="both"/>
        <w:rPr>
          <w:lang w:eastAsia="ru-RU"/>
        </w:rPr>
      </w:pPr>
      <w:r>
        <w:rPr>
          <w:lang w:eastAsia="ru-RU"/>
        </w:rPr>
        <w:t>coordinate with other departments on matters relating to the operation of the antimonopoly compliance system;</w:t>
      </w:r>
    </w:p>
    <w:p w14:paraId="76BF5135" w14:textId="77777777" w:rsidR="00244565" w:rsidRDefault="00244565" w:rsidP="00D12DAA">
      <w:pPr>
        <w:pStyle w:val="ac"/>
        <w:tabs>
          <w:tab w:val="num" w:pos="567"/>
        </w:tabs>
        <w:ind w:left="567"/>
        <w:jc w:val="both"/>
        <w:rPr>
          <w:lang w:eastAsia="ru-RU"/>
        </w:rPr>
      </w:pPr>
      <w:r>
        <w:rPr>
          <w:lang w:eastAsia="ru-RU"/>
        </w:rPr>
        <w:t>organize internal investigations into infringements of competition law;</w:t>
      </w:r>
    </w:p>
    <w:p w14:paraId="249B5923" w14:textId="77777777" w:rsidR="00244565" w:rsidRDefault="00244565" w:rsidP="00D12DAA">
      <w:pPr>
        <w:pStyle w:val="ac"/>
        <w:tabs>
          <w:tab w:val="num" w:pos="567"/>
        </w:tabs>
        <w:ind w:left="567"/>
        <w:jc w:val="both"/>
        <w:rPr>
          <w:lang w:eastAsia="ru-RU"/>
        </w:rPr>
      </w:pPr>
      <w:r>
        <w:rPr>
          <w:lang w:eastAsia="ru-RU"/>
        </w:rPr>
        <w:t>exchange information with the competition authority regarding infringements of competition law;</w:t>
      </w:r>
    </w:p>
    <w:p w14:paraId="76B7695B" w14:textId="77777777" w:rsidR="00244565" w:rsidRDefault="00244565" w:rsidP="00D12DAA">
      <w:pPr>
        <w:pStyle w:val="ac"/>
        <w:tabs>
          <w:tab w:val="num" w:pos="567"/>
        </w:tabs>
        <w:ind w:left="567"/>
        <w:jc w:val="both"/>
        <w:rPr>
          <w:lang w:eastAsia="ru-RU"/>
        </w:rPr>
      </w:pPr>
      <w:r>
        <w:rPr>
          <w:lang w:eastAsia="ru-RU"/>
        </w:rPr>
        <w:t>develop and oversee the implementation of an annual Road Map to reduce the risk of infringing competition law;</w:t>
      </w:r>
    </w:p>
    <w:p w14:paraId="7551B97F" w14:textId="77777777" w:rsidR="00244565" w:rsidRDefault="00244565" w:rsidP="00D12DAA">
      <w:pPr>
        <w:pStyle w:val="ac"/>
        <w:tabs>
          <w:tab w:val="num" w:pos="567"/>
        </w:tabs>
        <w:ind w:left="567"/>
        <w:jc w:val="both"/>
        <w:rPr>
          <w:lang w:eastAsia="ru-RU"/>
        </w:rPr>
      </w:pPr>
      <w:r>
        <w:rPr>
          <w:lang w:eastAsia="ru-RU"/>
        </w:rPr>
        <w:t>monitor developments in competition law and submit proposals for any necessary amendments to internal documents;</w:t>
      </w:r>
    </w:p>
    <w:p w14:paraId="5B463DA3" w14:textId="77777777" w:rsidR="00244565" w:rsidRDefault="00244565" w:rsidP="00D12DAA">
      <w:pPr>
        <w:pStyle w:val="ac"/>
        <w:tabs>
          <w:tab w:val="num" w:pos="567"/>
        </w:tabs>
        <w:ind w:left="567"/>
        <w:jc w:val="both"/>
        <w:rPr>
          <w:lang w:eastAsia="ru-RU"/>
        </w:rPr>
      </w:pPr>
      <w:r>
        <w:rPr>
          <w:lang w:eastAsia="ru-RU"/>
        </w:rPr>
        <w:t>identify the risks of infringing competition law, record the circumstances giving rise to such risks, and assess the likelihood of their occurrence;</w:t>
      </w:r>
    </w:p>
    <w:p w14:paraId="30B783D6" w14:textId="77777777" w:rsidR="00244565" w:rsidRDefault="00244565" w:rsidP="00D12DAA">
      <w:pPr>
        <w:pStyle w:val="ac"/>
        <w:tabs>
          <w:tab w:val="num" w:pos="567"/>
        </w:tabs>
        <w:ind w:left="567"/>
        <w:jc w:val="both"/>
        <w:rPr>
          <w:lang w:eastAsia="ru-RU"/>
        </w:rPr>
      </w:pPr>
      <w:r>
        <w:rPr>
          <w:lang w:eastAsia="ru-RU"/>
        </w:rPr>
        <w:t>identify conflicts of interest in the Exchange's activities that may restrict competition, and develop proposals to resolve them;</w:t>
      </w:r>
    </w:p>
    <w:p w14:paraId="038A1168" w14:textId="15579D6F" w:rsidR="00244565" w:rsidRPr="00244565" w:rsidRDefault="00244565" w:rsidP="00D12DAA">
      <w:pPr>
        <w:pStyle w:val="ac"/>
        <w:tabs>
          <w:tab w:val="num" w:pos="567"/>
        </w:tabs>
        <w:ind w:left="567"/>
        <w:jc w:val="both"/>
        <w:rPr>
          <w:lang w:eastAsia="ru-RU"/>
        </w:rPr>
      </w:pPr>
      <w:r>
        <w:rPr>
          <w:lang w:eastAsia="ru-RU"/>
        </w:rPr>
        <w:t>advise the Exchange's employees on compliance with competition law;</w:t>
      </w:r>
    </w:p>
    <w:p w14:paraId="30A0FA12" w14:textId="1CA51101" w:rsidR="00ED385B" w:rsidRPr="00ED385B" w:rsidRDefault="00ED385B" w:rsidP="00D12DAA">
      <w:pPr>
        <w:pStyle w:val="ac"/>
        <w:tabs>
          <w:tab w:val="num" w:pos="567"/>
        </w:tabs>
        <w:ind w:left="567"/>
        <w:jc w:val="both"/>
      </w:pPr>
      <w:r w:rsidRPr="00ED385B">
        <w:t>conduct regular training sessions on antimonopoly compliance;</w:t>
      </w:r>
    </w:p>
    <w:p w14:paraId="2AA664D3" w14:textId="4EC90B2B" w:rsidR="00ED385B" w:rsidRPr="00ED385B" w:rsidRDefault="00ED385B" w:rsidP="00D12DAA">
      <w:pPr>
        <w:pStyle w:val="ac"/>
        <w:tabs>
          <w:tab w:val="num" w:pos="567"/>
        </w:tabs>
        <w:ind w:left="567"/>
        <w:jc w:val="both"/>
      </w:pPr>
      <w:r w:rsidRPr="00ED385B">
        <w:t xml:space="preserve">review draft documents to be adopted by the Exchange and, where any provisions that may lead to </w:t>
      </w:r>
      <w:r w:rsidR="007F2258">
        <w:t>infringements</w:t>
      </w:r>
      <w:r w:rsidRPr="00ED385B">
        <w:t xml:space="preserve"> of competition law are identified, inform the Head accordingly;</w:t>
      </w:r>
    </w:p>
    <w:p w14:paraId="4C76B5CA" w14:textId="68F3A70B" w:rsidR="00ED385B" w:rsidRPr="00ED385B" w:rsidRDefault="00ED385B" w:rsidP="00D12DAA">
      <w:pPr>
        <w:pStyle w:val="ac"/>
        <w:tabs>
          <w:tab w:val="num" w:pos="567"/>
        </w:tabs>
        <w:ind w:left="567"/>
        <w:jc w:val="both"/>
      </w:pPr>
      <w:r w:rsidRPr="00ED385B">
        <w:t xml:space="preserve">submit the antimonopoly compliance report to </w:t>
      </w:r>
      <w:r w:rsidR="008415C4" w:rsidRPr="007F2258">
        <w:t>Exchange's management</w:t>
      </w:r>
      <w:r w:rsidRPr="00ED385B">
        <w:t xml:space="preserve"> for approval annually by 1 February.</w:t>
      </w:r>
    </w:p>
    <w:p w14:paraId="54D8E482" w14:textId="3B593BDE" w:rsidR="00B00937" w:rsidRPr="00B00937" w:rsidRDefault="00B00937" w:rsidP="00D12DAA">
      <w:pPr>
        <w:pStyle w:val="ac"/>
        <w:tabs>
          <w:tab w:val="num" w:pos="567"/>
        </w:tabs>
        <w:ind w:left="567"/>
        <w:jc w:val="both"/>
      </w:pPr>
      <w:r w:rsidRPr="00B00937">
        <w:t>The authori</w:t>
      </w:r>
      <w:r>
        <w:t>z</w:t>
      </w:r>
      <w:r w:rsidRPr="00B00937">
        <w:t>ed person shall be directly accountable to the Head.</w:t>
      </w:r>
    </w:p>
    <w:p w14:paraId="6AC4D42E" w14:textId="77777777" w:rsidR="00995102" w:rsidRPr="00995102" w:rsidRDefault="00995102" w:rsidP="00D12DAA">
      <w:pPr>
        <w:pStyle w:val="font-claude-response-body"/>
        <w:jc w:val="center"/>
        <w:rPr>
          <w:lang w:val="en-US"/>
        </w:rPr>
      </w:pPr>
      <w:r w:rsidRPr="00995102">
        <w:rPr>
          <w:rStyle w:val="ad"/>
          <w:lang w:val="en-US"/>
        </w:rPr>
        <w:t>Identification of Competition Law Risks and Infringements</w:t>
      </w:r>
    </w:p>
    <w:p w14:paraId="1C0CE445" w14:textId="57820D8C" w:rsidR="00995102" w:rsidRPr="00F81498" w:rsidRDefault="00F81498" w:rsidP="00D12DAA">
      <w:pPr>
        <w:pStyle w:val="font-claude-response-body"/>
        <w:ind w:left="567"/>
        <w:jc w:val="both"/>
        <w:rPr>
          <w:lang w:val="en-US"/>
        </w:rPr>
      </w:pPr>
      <w:r w:rsidRPr="00F81498">
        <w:rPr>
          <w:lang w:val="en-US"/>
        </w:rPr>
        <w:t>5. To identify competition law risks at the Exchange, the Compliance Manager shall:</w:t>
      </w:r>
    </w:p>
    <w:p w14:paraId="359DF2C6" w14:textId="77777777" w:rsidR="00995102" w:rsidRPr="00995102" w:rsidRDefault="00995102" w:rsidP="00D12DAA">
      <w:pPr>
        <w:pStyle w:val="font-claude-response-body"/>
        <w:ind w:left="567"/>
        <w:jc w:val="both"/>
        <w:rPr>
          <w:lang w:val="en-US"/>
        </w:rPr>
      </w:pPr>
      <w:r w:rsidRPr="00995102">
        <w:rPr>
          <w:lang w:val="en-US"/>
        </w:rPr>
        <w:t>review laws and regulations to identify provisions and rules that may lead to infringements of competition law or restrict competition in the market;</w:t>
      </w:r>
    </w:p>
    <w:p w14:paraId="07776941" w14:textId="77777777" w:rsidR="00995102" w:rsidRPr="00995102" w:rsidRDefault="00995102" w:rsidP="00D12DAA">
      <w:pPr>
        <w:pStyle w:val="font-claude-response-body"/>
        <w:ind w:left="567"/>
        <w:jc w:val="both"/>
        <w:rPr>
          <w:lang w:val="en-US"/>
        </w:rPr>
      </w:pPr>
      <w:r w:rsidRPr="00995102">
        <w:rPr>
          <w:lang w:val="en-US"/>
        </w:rPr>
        <w:t>review newly introduced restrictions, new types of permit procedures, additional requirements or conditions for obtaining licenses and permits, and newly introduced technical regulation requirements;</w:t>
      </w:r>
    </w:p>
    <w:p w14:paraId="0B0D957E" w14:textId="77777777" w:rsidR="00995102" w:rsidRPr="00995102" w:rsidRDefault="00995102" w:rsidP="00D12DAA">
      <w:pPr>
        <w:pStyle w:val="font-claude-response-body"/>
        <w:ind w:left="567"/>
        <w:jc w:val="both"/>
        <w:rPr>
          <w:lang w:val="en-US"/>
        </w:rPr>
      </w:pPr>
      <w:r w:rsidRPr="00995102">
        <w:rPr>
          <w:lang w:val="en-US"/>
        </w:rPr>
        <w:t>analyze compliance with antimonopoly requirements in tenders and exchange trading;</w:t>
      </w:r>
    </w:p>
    <w:p w14:paraId="232CC310" w14:textId="77777777" w:rsidR="00995102" w:rsidRPr="00995102" w:rsidRDefault="00995102" w:rsidP="00D12DAA">
      <w:pPr>
        <w:pStyle w:val="font-claude-response-body"/>
        <w:ind w:left="567"/>
        <w:jc w:val="both"/>
        <w:rPr>
          <w:lang w:val="en-US"/>
        </w:rPr>
      </w:pPr>
      <w:r w:rsidRPr="00995102">
        <w:rPr>
          <w:lang w:val="en-US"/>
        </w:rPr>
        <w:t>review whether public procurement complies with competition law;</w:t>
      </w:r>
    </w:p>
    <w:p w14:paraId="074410D0" w14:textId="77777777" w:rsidR="00995102" w:rsidRPr="00995102" w:rsidRDefault="00995102" w:rsidP="00D12DAA">
      <w:pPr>
        <w:pStyle w:val="font-claude-response-body"/>
        <w:ind w:left="567"/>
        <w:jc w:val="both"/>
        <w:rPr>
          <w:lang w:val="en-US"/>
        </w:rPr>
      </w:pPr>
      <w:r w:rsidRPr="00995102">
        <w:rPr>
          <w:lang w:val="en-US"/>
        </w:rPr>
        <w:t>analyze identified infringements of competition law;</w:t>
      </w:r>
    </w:p>
    <w:p w14:paraId="5945A06D" w14:textId="77777777" w:rsidR="00995102" w:rsidRPr="00995102" w:rsidRDefault="00995102" w:rsidP="00D12DAA">
      <w:pPr>
        <w:pStyle w:val="font-claude-response-body"/>
        <w:ind w:left="567"/>
        <w:jc w:val="both"/>
        <w:rPr>
          <w:lang w:val="en-US"/>
        </w:rPr>
      </w:pPr>
      <w:r w:rsidRPr="00995102">
        <w:rPr>
          <w:lang w:val="en-US"/>
        </w:rPr>
        <w:lastRenderedPageBreak/>
        <w:t>monitor and analyze the application of competition law in practice;</w:t>
      </w:r>
    </w:p>
    <w:p w14:paraId="5F285D86" w14:textId="77777777" w:rsidR="00995102" w:rsidRPr="00995102" w:rsidRDefault="00995102" w:rsidP="00D12DAA">
      <w:pPr>
        <w:pStyle w:val="font-claude-response-body"/>
        <w:ind w:left="567"/>
        <w:jc w:val="both"/>
        <w:rPr>
          <w:lang w:val="en-US"/>
        </w:rPr>
      </w:pPr>
      <w:r w:rsidRPr="00995102">
        <w:rPr>
          <w:lang w:val="en-US"/>
        </w:rPr>
        <w:t>regularly assess the effectiveness of measures developed and implemented to reduce competition law risks;</w:t>
      </w:r>
    </w:p>
    <w:p w14:paraId="2A98B50C" w14:textId="77777777" w:rsidR="00995102" w:rsidRPr="00995102" w:rsidRDefault="00995102" w:rsidP="00D12DAA">
      <w:pPr>
        <w:pStyle w:val="font-claude-response-body"/>
        <w:ind w:left="567"/>
        <w:jc w:val="both"/>
        <w:rPr>
          <w:lang w:val="en-US"/>
        </w:rPr>
      </w:pPr>
      <w:r w:rsidRPr="00995102">
        <w:rPr>
          <w:lang w:val="en-US"/>
        </w:rPr>
        <w:t>analyze potential antimonopoly risks and compile them into a compliance risk map.</w:t>
      </w:r>
    </w:p>
    <w:p w14:paraId="3F665F42" w14:textId="77777777" w:rsidR="00995102" w:rsidRPr="00995102" w:rsidRDefault="00995102" w:rsidP="00D12DAA">
      <w:pPr>
        <w:pStyle w:val="font-claude-response-body"/>
        <w:ind w:left="567"/>
        <w:jc w:val="both"/>
        <w:rPr>
          <w:lang w:val="en-US"/>
        </w:rPr>
      </w:pPr>
      <w:r w:rsidRPr="00995102">
        <w:rPr>
          <w:lang w:val="en-US"/>
        </w:rPr>
        <w:t>Other measures aimed at ensuring the effective operation of the antimonopoly compliance system may also be carried out, taking into account the specific nature of the Exchange's activities and with the approval of the Exchange's management.</w:t>
      </w:r>
    </w:p>
    <w:p w14:paraId="7D45D993" w14:textId="55FFF3DC" w:rsidR="00F81498" w:rsidRDefault="00F81498" w:rsidP="00D12DAA">
      <w:pPr>
        <w:pStyle w:val="ac"/>
        <w:ind w:left="567"/>
        <w:jc w:val="both"/>
      </w:pPr>
      <w:r w:rsidRPr="00F81498">
        <w:t xml:space="preserve">6. </w:t>
      </w:r>
      <w:r>
        <w:t>Competition law risks identified by the authorized person (or department) shall be classified by level in accordance with the appendix to this Regulation.</w:t>
      </w:r>
    </w:p>
    <w:p w14:paraId="0B6DF15F" w14:textId="48D1E1A8" w:rsidR="00F81498" w:rsidRPr="00F81498" w:rsidRDefault="00F81498" w:rsidP="00D12DAA">
      <w:pPr>
        <w:pStyle w:val="ac"/>
        <w:ind w:left="567"/>
        <w:jc w:val="both"/>
        <w:rPr>
          <w:rStyle w:val="ad"/>
        </w:rPr>
      </w:pPr>
      <w:r w:rsidRPr="00F81498">
        <w:t xml:space="preserve">7. </w:t>
      </w:r>
      <w:r>
        <w:t>Information on the analysis, identification and assessment of competition law risks shall be included in the antimonopoly compliance report.</w:t>
      </w:r>
    </w:p>
    <w:p w14:paraId="5E760FFB" w14:textId="77777777" w:rsidR="00F81498" w:rsidRPr="00F81498" w:rsidRDefault="00F81498" w:rsidP="00D12DAA">
      <w:pPr>
        <w:pStyle w:val="font-claude-response-body"/>
        <w:jc w:val="center"/>
        <w:rPr>
          <w:lang w:val="en-US"/>
        </w:rPr>
      </w:pPr>
      <w:r w:rsidRPr="00F81498">
        <w:rPr>
          <w:rStyle w:val="ad"/>
          <w:lang w:val="en-US"/>
        </w:rPr>
        <w:t>Assessment of the effectiveness of the antimonopoly compliance system</w:t>
      </w:r>
    </w:p>
    <w:p w14:paraId="37683970" w14:textId="0CE5A6FC" w:rsidR="00D12DAA" w:rsidRPr="00D12DAA" w:rsidRDefault="00D12DAA" w:rsidP="00D12DAA">
      <w:pPr>
        <w:pStyle w:val="font-claude-response-body"/>
        <w:ind w:left="567"/>
        <w:jc w:val="both"/>
        <w:rPr>
          <w:lang w:val="en-US"/>
        </w:rPr>
      </w:pPr>
      <w:r w:rsidRPr="00D12DAA">
        <w:rPr>
          <w:lang w:val="en-US"/>
        </w:rPr>
        <w:t>8. The key performance indicators used to assess the effectiveness of the Exchange's antimonopoly compliance system shall be calculated in accordance with the methodology developed by the competition authority.</w:t>
      </w:r>
    </w:p>
    <w:p w14:paraId="34704B3D" w14:textId="2675941C" w:rsidR="00D12DAA" w:rsidRPr="00D12DAA" w:rsidRDefault="00D12DAA" w:rsidP="00D12DAA">
      <w:pPr>
        <w:pStyle w:val="font-claude-response-body"/>
        <w:ind w:left="567"/>
        <w:jc w:val="both"/>
        <w:rPr>
          <w:lang w:val="en-US"/>
        </w:rPr>
      </w:pPr>
      <w:r w:rsidRPr="00D12DAA">
        <w:rPr>
          <w:lang w:val="en-US"/>
        </w:rPr>
        <w:t>9. The authorized person shall assess the key performance indicators achieved by the Exchange's antimonopoly compliance system at least once a year.</w:t>
      </w:r>
    </w:p>
    <w:p w14:paraId="40991C66" w14:textId="36CAC12C" w:rsidR="00D12DAA" w:rsidRPr="00D12DAA" w:rsidRDefault="00D12DAA" w:rsidP="00D12DAA">
      <w:pPr>
        <w:pStyle w:val="font-claude-response-body"/>
        <w:ind w:left="567"/>
        <w:jc w:val="both"/>
        <w:rPr>
          <w:rStyle w:val="ad"/>
          <w:lang w:val="en-US"/>
        </w:rPr>
      </w:pPr>
      <w:r w:rsidRPr="00D12DAA">
        <w:rPr>
          <w:lang w:val="en-US"/>
        </w:rPr>
        <w:t>10. Information on the achievement of the key performance indicators used to assess the effectiveness of the Exchange's antimonopoly compliance system shall be included in the antimonopoly compliance report.</w:t>
      </w:r>
    </w:p>
    <w:p w14:paraId="3CA70675" w14:textId="7C2207FB" w:rsidR="00F81498" w:rsidRDefault="00F81498" w:rsidP="00D12DAA">
      <w:pPr>
        <w:pStyle w:val="font-claude-response-body"/>
        <w:jc w:val="center"/>
      </w:pPr>
      <w:proofErr w:type="spellStart"/>
      <w:r>
        <w:rPr>
          <w:rStyle w:val="ad"/>
        </w:rPr>
        <w:t>Antimonopoly</w:t>
      </w:r>
      <w:proofErr w:type="spellEnd"/>
      <w:r>
        <w:rPr>
          <w:rStyle w:val="ad"/>
        </w:rPr>
        <w:t xml:space="preserve"> </w:t>
      </w:r>
      <w:proofErr w:type="spellStart"/>
      <w:r>
        <w:rPr>
          <w:rStyle w:val="ad"/>
        </w:rPr>
        <w:t>compliance</w:t>
      </w:r>
      <w:proofErr w:type="spellEnd"/>
      <w:r>
        <w:rPr>
          <w:rStyle w:val="ad"/>
        </w:rPr>
        <w:t xml:space="preserve"> </w:t>
      </w:r>
      <w:proofErr w:type="spellStart"/>
      <w:r>
        <w:rPr>
          <w:rStyle w:val="ad"/>
        </w:rPr>
        <w:t>report</w:t>
      </w:r>
      <w:proofErr w:type="spellEnd"/>
    </w:p>
    <w:p w14:paraId="6EAF7F7B" w14:textId="0356381E" w:rsidR="00F81498" w:rsidRPr="00F81498" w:rsidRDefault="00F81498" w:rsidP="00D12DAA">
      <w:pPr>
        <w:pStyle w:val="font-claude-response-body"/>
        <w:numPr>
          <w:ilvl w:val="0"/>
          <w:numId w:val="17"/>
        </w:numPr>
        <w:tabs>
          <w:tab w:val="clear" w:pos="720"/>
          <w:tab w:val="num" w:pos="567"/>
        </w:tabs>
        <w:ind w:left="567" w:firstLine="0"/>
        <w:jc w:val="both"/>
        <w:rPr>
          <w:lang w:val="en-US"/>
        </w:rPr>
      </w:pPr>
      <w:r w:rsidRPr="00F81498">
        <w:rPr>
          <w:lang w:val="en-US"/>
        </w:rPr>
        <w:t>The antimonopoly compliance report shall include:</w:t>
      </w:r>
    </w:p>
    <w:p w14:paraId="5DBA8EBD" w14:textId="77777777" w:rsidR="00F81498" w:rsidRPr="00F81498" w:rsidRDefault="00F81498" w:rsidP="00D12DAA">
      <w:pPr>
        <w:pStyle w:val="font-claude-response-body"/>
        <w:tabs>
          <w:tab w:val="num" w:pos="567"/>
        </w:tabs>
        <w:ind w:left="567"/>
        <w:jc w:val="both"/>
        <w:rPr>
          <w:lang w:val="en-US"/>
        </w:rPr>
      </w:pPr>
      <w:r w:rsidRPr="00F81498">
        <w:rPr>
          <w:lang w:val="en-US"/>
        </w:rPr>
        <w:t>the results of the assessment of competition law risks and the measures implemented to reduce those risks;</w:t>
      </w:r>
    </w:p>
    <w:p w14:paraId="75F672C3" w14:textId="1B619858" w:rsidR="00D12DAA" w:rsidRPr="00D12DAA" w:rsidRDefault="00D12DAA" w:rsidP="00D12DAA">
      <w:pPr>
        <w:pStyle w:val="ac"/>
        <w:tabs>
          <w:tab w:val="num" w:pos="567"/>
        </w:tabs>
        <w:ind w:left="567"/>
        <w:jc w:val="both"/>
      </w:pPr>
      <w:r>
        <w:rPr>
          <w:lang w:eastAsia="ru-RU"/>
        </w:rPr>
        <w:t>i</w:t>
      </w:r>
      <w:r w:rsidRPr="00D12DAA">
        <w:rPr>
          <w:lang w:eastAsia="ru-RU"/>
        </w:rPr>
        <w:t xml:space="preserve">nformation on the achievement of the key performance indicators of the antimonopoly </w:t>
      </w:r>
      <w:r>
        <w:rPr>
          <w:lang w:eastAsia="ru-RU"/>
        </w:rPr>
        <w:t xml:space="preserve">     </w:t>
      </w:r>
      <w:r w:rsidRPr="00D12DAA">
        <w:rPr>
          <w:lang w:eastAsia="ru-RU"/>
        </w:rPr>
        <w:t>compliance system.</w:t>
      </w:r>
    </w:p>
    <w:p w14:paraId="3608EC6B" w14:textId="31A73058" w:rsidR="00084B51" w:rsidRDefault="00084B51" w:rsidP="00D12DAA">
      <w:pPr>
        <w:pStyle w:val="ac"/>
        <w:numPr>
          <w:ilvl w:val="0"/>
          <w:numId w:val="14"/>
        </w:numPr>
        <w:tabs>
          <w:tab w:val="clear" w:pos="720"/>
          <w:tab w:val="num" w:pos="567"/>
        </w:tabs>
        <w:ind w:left="567" w:firstLine="0"/>
        <w:jc w:val="both"/>
      </w:pPr>
      <w:r>
        <w:t>Once approved, the antimonopoly compliance report shall be published on the Exchange’s official website and submitted to the competition authority within three working days.</w:t>
      </w:r>
    </w:p>
    <w:p w14:paraId="7BBBE135" w14:textId="77777777" w:rsidR="00FE11C3" w:rsidRPr="00084B51" w:rsidRDefault="00FE11C3" w:rsidP="00D12DAA">
      <w:pPr>
        <w:tabs>
          <w:tab w:val="num" w:pos="567"/>
        </w:tabs>
        <w:ind w:left="567"/>
        <w:jc w:val="both"/>
        <w:rPr>
          <w:rFonts w:ascii="Times New Roman" w:hAnsi="Times New Roman" w:cs="Times New Roman"/>
          <w:sz w:val="24"/>
          <w:szCs w:val="24"/>
          <w:lang w:val="en-US"/>
        </w:rPr>
      </w:pPr>
    </w:p>
    <w:p w14:paraId="33F58A19" w14:textId="77777777" w:rsidR="00B00937" w:rsidRPr="00084B51" w:rsidRDefault="00B00937" w:rsidP="00D12DAA">
      <w:pPr>
        <w:jc w:val="both"/>
        <w:rPr>
          <w:rFonts w:ascii="Times New Roman" w:hAnsi="Times New Roman" w:cs="Times New Roman"/>
          <w:sz w:val="24"/>
          <w:szCs w:val="24"/>
          <w:lang w:val="en-US"/>
        </w:rPr>
      </w:pPr>
    </w:p>
    <w:p w14:paraId="6BBDF575" w14:textId="77777777" w:rsidR="00B00937" w:rsidRPr="00F81498" w:rsidRDefault="00B00937" w:rsidP="00D12DAA">
      <w:pPr>
        <w:jc w:val="both"/>
        <w:rPr>
          <w:rFonts w:ascii="Times New Roman" w:hAnsi="Times New Roman" w:cs="Times New Roman"/>
          <w:sz w:val="24"/>
          <w:szCs w:val="24"/>
          <w:lang w:val="en-US"/>
        </w:rPr>
      </w:pPr>
    </w:p>
    <w:p w14:paraId="538E6241" w14:textId="77777777" w:rsidR="00995102" w:rsidRPr="00F81498" w:rsidRDefault="00995102" w:rsidP="00D12DAA">
      <w:pPr>
        <w:jc w:val="both"/>
        <w:rPr>
          <w:rFonts w:ascii="Times New Roman" w:hAnsi="Times New Roman" w:cs="Times New Roman"/>
          <w:sz w:val="24"/>
          <w:szCs w:val="24"/>
          <w:lang w:val="en-US"/>
        </w:rPr>
      </w:pPr>
    </w:p>
    <w:p w14:paraId="25046AC1" w14:textId="77777777" w:rsidR="00995102" w:rsidRPr="00F81498" w:rsidRDefault="00995102" w:rsidP="00D12DAA">
      <w:pPr>
        <w:jc w:val="both"/>
        <w:rPr>
          <w:rFonts w:ascii="Times New Roman" w:hAnsi="Times New Roman" w:cs="Times New Roman"/>
          <w:sz w:val="24"/>
          <w:szCs w:val="24"/>
          <w:lang w:val="en-US"/>
        </w:rPr>
      </w:pPr>
    </w:p>
    <w:p w14:paraId="14C573C8" w14:textId="77777777" w:rsidR="00995102" w:rsidRPr="00D12DAA" w:rsidRDefault="00995102" w:rsidP="00D12DAA">
      <w:pPr>
        <w:jc w:val="both"/>
        <w:rPr>
          <w:rFonts w:ascii="Times New Roman" w:hAnsi="Times New Roman" w:cs="Times New Roman"/>
          <w:sz w:val="24"/>
          <w:szCs w:val="24"/>
          <w:lang w:val="en-US"/>
        </w:rPr>
      </w:pPr>
    </w:p>
    <w:p w14:paraId="23120B25" w14:textId="77777777" w:rsidR="00F81498" w:rsidRPr="00D12DAA" w:rsidRDefault="00F81498" w:rsidP="00D12DAA">
      <w:pPr>
        <w:jc w:val="both"/>
        <w:rPr>
          <w:rFonts w:ascii="Times New Roman" w:hAnsi="Times New Roman" w:cs="Times New Roman"/>
          <w:sz w:val="24"/>
          <w:szCs w:val="24"/>
          <w:lang w:val="en-US"/>
        </w:rPr>
      </w:pPr>
    </w:p>
    <w:p w14:paraId="37DAE032" w14:textId="77777777" w:rsidR="00F81498" w:rsidRPr="00D12DAA" w:rsidRDefault="00F81498" w:rsidP="00D12DAA">
      <w:pPr>
        <w:jc w:val="both"/>
        <w:rPr>
          <w:rFonts w:ascii="Times New Roman" w:hAnsi="Times New Roman" w:cs="Times New Roman"/>
          <w:sz w:val="24"/>
          <w:szCs w:val="24"/>
          <w:lang w:val="en-US"/>
        </w:rPr>
      </w:pPr>
    </w:p>
    <w:p w14:paraId="3319993B" w14:textId="77777777" w:rsidR="00995102" w:rsidRPr="00F81498" w:rsidRDefault="00995102" w:rsidP="00D12DAA">
      <w:pPr>
        <w:jc w:val="both"/>
        <w:rPr>
          <w:rFonts w:ascii="Times New Roman" w:hAnsi="Times New Roman" w:cs="Times New Roman"/>
          <w:sz w:val="24"/>
          <w:szCs w:val="24"/>
          <w:lang w:val="en-US"/>
        </w:rPr>
      </w:pPr>
    </w:p>
    <w:p w14:paraId="70FD690D" w14:textId="77777777" w:rsidR="00D12DAA" w:rsidRPr="00D12DAA" w:rsidRDefault="00D12DAA" w:rsidP="00D12DAA">
      <w:pPr>
        <w:jc w:val="right"/>
        <w:rPr>
          <w:rFonts w:ascii="Times New Roman" w:hAnsi="Times New Roman" w:cs="Times New Roman"/>
          <w:sz w:val="24"/>
          <w:szCs w:val="24"/>
          <w:lang w:val="en-US"/>
        </w:rPr>
      </w:pPr>
      <w:r w:rsidRPr="00D12DAA">
        <w:rPr>
          <w:rFonts w:ascii="Times New Roman" w:hAnsi="Times New Roman" w:cs="Times New Roman"/>
          <w:sz w:val="24"/>
          <w:szCs w:val="24"/>
          <w:lang w:val="en-US"/>
        </w:rPr>
        <w:t>APPENDIX</w:t>
      </w:r>
    </w:p>
    <w:p w14:paraId="10EA8791" w14:textId="564FA1CA" w:rsidR="00B00937" w:rsidRPr="00D12DAA" w:rsidRDefault="00D12DAA" w:rsidP="00D12DAA">
      <w:pPr>
        <w:jc w:val="center"/>
        <w:rPr>
          <w:rFonts w:ascii="Times New Roman" w:hAnsi="Times New Roman" w:cs="Times New Roman"/>
          <w:sz w:val="24"/>
          <w:szCs w:val="24"/>
          <w:lang w:val="en-US"/>
        </w:rPr>
      </w:pPr>
      <w:r w:rsidRPr="00D12DAA">
        <w:rPr>
          <w:rFonts w:ascii="Times New Roman" w:hAnsi="Times New Roman" w:cs="Times New Roman"/>
          <w:b/>
          <w:bCs/>
          <w:sz w:val="24"/>
          <w:szCs w:val="24"/>
          <w:lang w:val="en-US"/>
        </w:rPr>
        <w:t>Sample Risk Classification by Level of Infringement of Competition Law*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733"/>
        <w:gridCol w:w="2640"/>
        <w:gridCol w:w="2187"/>
      </w:tblGrid>
      <w:tr w:rsidR="00B00937" w:rsidRPr="00B00937" w14:paraId="38DB32DA" w14:textId="1C630E62" w:rsidTr="00D12DAA">
        <w:tc>
          <w:tcPr>
            <w:tcW w:w="9360" w:type="dxa"/>
            <w:gridSpan w:val="4"/>
            <w:tcBorders>
              <w:top w:val="single" w:sz="2" w:space="0" w:color="000000"/>
              <w:left w:val="single" w:sz="2" w:space="0" w:color="000000"/>
              <w:bottom w:val="single" w:sz="2" w:space="0" w:color="000000"/>
              <w:right w:val="single" w:sz="2" w:space="0" w:color="000000"/>
            </w:tcBorders>
            <w:hideMark/>
          </w:tcPr>
          <w:p w14:paraId="1F2B751C" w14:textId="5EED0BD8" w:rsidR="00B00937" w:rsidRPr="00B00937" w:rsidRDefault="00B00937" w:rsidP="00D12DAA">
            <w:pPr>
              <w:jc w:val="center"/>
              <w:rPr>
                <w:rFonts w:ascii="Times New Roman" w:hAnsi="Times New Roman" w:cs="Times New Roman"/>
                <w:b/>
                <w:bCs/>
                <w:sz w:val="24"/>
                <w:szCs w:val="24"/>
              </w:rPr>
            </w:pPr>
            <w:proofErr w:type="spellStart"/>
            <w:r w:rsidRPr="00B00937">
              <w:rPr>
                <w:rFonts w:ascii="Times New Roman" w:hAnsi="Times New Roman" w:cs="Times New Roman"/>
                <w:b/>
                <w:bCs/>
                <w:sz w:val="24"/>
                <w:szCs w:val="24"/>
              </w:rPr>
              <w:t>Consequences</w:t>
            </w:r>
            <w:proofErr w:type="spellEnd"/>
          </w:p>
        </w:tc>
      </w:tr>
      <w:tr w:rsidR="00B00937" w:rsidRPr="00B00937" w14:paraId="1CA80D60" w14:textId="77777777" w:rsidTr="00D12DAA">
        <w:tc>
          <w:tcPr>
            <w:tcW w:w="2800" w:type="dxa"/>
            <w:tcBorders>
              <w:top w:val="single" w:sz="2" w:space="0" w:color="000000"/>
              <w:left w:val="single" w:sz="2" w:space="0" w:color="000000"/>
              <w:bottom w:val="single" w:sz="2" w:space="0" w:color="000000"/>
              <w:right w:val="single" w:sz="2" w:space="0" w:color="000000"/>
            </w:tcBorders>
          </w:tcPr>
          <w:p w14:paraId="4C3AB76D" w14:textId="4F6CCA9B" w:rsidR="00B00937" w:rsidRPr="00B00937" w:rsidRDefault="00D12DAA" w:rsidP="00D12DAA">
            <w:pPr>
              <w:jc w:val="both"/>
              <w:rPr>
                <w:rFonts w:ascii="Times New Roman" w:hAnsi="Times New Roman" w:cs="Times New Roman"/>
                <w:sz w:val="24"/>
                <w:szCs w:val="24"/>
                <w:lang w:val="en-US"/>
              </w:rPr>
            </w:pPr>
            <w:r w:rsidRPr="00D12DAA">
              <w:rPr>
                <w:rFonts w:ascii="Times New Roman" w:hAnsi="Times New Roman" w:cs="Times New Roman"/>
                <w:b/>
                <w:bCs/>
                <w:sz w:val="24"/>
                <w:szCs w:val="24"/>
                <w:lang w:val="en-US"/>
              </w:rPr>
              <w:t>Likelihood (of occurrence)</w:t>
            </w:r>
          </w:p>
        </w:tc>
        <w:tc>
          <w:tcPr>
            <w:tcW w:w="1733" w:type="dxa"/>
            <w:tcBorders>
              <w:top w:val="single" w:sz="2" w:space="0" w:color="000000"/>
              <w:left w:val="single" w:sz="2" w:space="0" w:color="000000"/>
              <w:bottom w:val="single" w:sz="2" w:space="0" w:color="000000"/>
              <w:right w:val="single" w:sz="2" w:space="0" w:color="000000"/>
            </w:tcBorders>
            <w:hideMark/>
          </w:tcPr>
          <w:p w14:paraId="039BAF76" w14:textId="77777777" w:rsidR="00B00937" w:rsidRPr="00B00937" w:rsidRDefault="00B00937" w:rsidP="00D12DAA">
            <w:pPr>
              <w:jc w:val="both"/>
              <w:rPr>
                <w:rFonts w:ascii="Times New Roman" w:hAnsi="Times New Roman" w:cs="Times New Roman"/>
                <w:sz w:val="24"/>
                <w:szCs w:val="24"/>
              </w:rPr>
            </w:pPr>
            <w:proofErr w:type="spellStart"/>
            <w:r w:rsidRPr="00B00937">
              <w:rPr>
                <w:rFonts w:ascii="Times New Roman" w:hAnsi="Times New Roman" w:cs="Times New Roman"/>
                <w:sz w:val="24"/>
                <w:szCs w:val="24"/>
              </w:rPr>
              <w:t>Low</w:t>
            </w:r>
            <w:proofErr w:type="spellEnd"/>
          </w:p>
        </w:tc>
        <w:tc>
          <w:tcPr>
            <w:tcW w:w="2640" w:type="dxa"/>
            <w:tcBorders>
              <w:top w:val="single" w:sz="2" w:space="0" w:color="000000"/>
              <w:left w:val="single" w:sz="2" w:space="0" w:color="000000"/>
              <w:bottom w:val="single" w:sz="2" w:space="0" w:color="000000"/>
              <w:right w:val="single" w:sz="2" w:space="0" w:color="000000"/>
            </w:tcBorders>
            <w:hideMark/>
          </w:tcPr>
          <w:p w14:paraId="06A6F3B3" w14:textId="61386CCA" w:rsidR="00B00937" w:rsidRPr="00B00937" w:rsidRDefault="00B00937" w:rsidP="00D12DAA">
            <w:pPr>
              <w:jc w:val="both"/>
              <w:rPr>
                <w:rFonts w:ascii="Times New Roman" w:hAnsi="Times New Roman" w:cs="Times New Roman"/>
                <w:sz w:val="24"/>
                <w:szCs w:val="24"/>
              </w:rPr>
            </w:pPr>
            <w:proofErr w:type="spellStart"/>
            <w:r w:rsidRPr="00B00937">
              <w:rPr>
                <w:rFonts w:ascii="Times New Roman" w:hAnsi="Times New Roman" w:cs="Times New Roman"/>
                <w:sz w:val="24"/>
                <w:szCs w:val="24"/>
              </w:rPr>
              <w:t>Medium</w:t>
            </w:r>
            <w:proofErr w:type="spellEnd"/>
          </w:p>
        </w:tc>
        <w:tc>
          <w:tcPr>
            <w:tcW w:w="2187" w:type="dxa"/>
            <w:tcBorders>
              <w:top w:val="single" w:sz="2" w:space="0" w:color="000000"/>
              <w:left w:val="single" w:sz="2" w:space="0" w:color="000000"/>
              <w:bottom w:val="single" w:sz="2" w:space="0" w:color="000000"/>
              <w:right w:val="single" w:sz="2" w:space="0" w:color="000000"/>
            </w:tcBorders>
            <w:hideMark/>
          </w:tcPr>
          <w:p w14:paraId="4DDFC57C" w14:textId="77777777" w:rsidR="00B00937" w:rsidRPr="00B00937" w:rsidRDefault="00B00937" w:rsidP="00D12DAA">
            <w:pPr>
              <w:jc w:val="both"/>
              <w:rPr>
                <w:rFonts w:ascii="Times New Roman" w:hAnsi="Times New Roman" w:cs="Times New Roman"/>
                <w:sz w:val="24"/>
                <w:szCs w:val="24"/>
              </w:rPr>
            </w:pPr>
            <w:r w:rsidRPr="00B00937">
              <w:rPr>
                <w:rFonts w:ascii="Times New Roman" w:hAnsi="Times New Roman" w:cs="Times New Roman"/>
                <w:sz w:val="24"/>
                <w:szCs w:val="24"/>
              </w:rPr>
              <w:t>High</w:t>
            </w:r>
          </w:p>
        </w:tc>
      </w:tr>
      <w:tr w:rsidR="00B00937" w:rsidRPr="00B00937" w14:paraId="2A460336" w14:textId="77777777" w:rsidTr="00D12DAA">
        <w:tc>
          <w:tcPr>
            <w:tcW w:w="2800" w:type="dxa"/>
            <w:tcBorders>
              <w:top w:val="single" w:sz="2" w:space="0" w:color="000000"/>
              <w:left w:val="single" w:sz="2" w:space="0" w:color="000000"/>
              <w:bottom w:val="single" w:sz="2" w:space="0" w:color="000000"/>
              <w:right w:val="single" w:sz="2" w:space="0" w:color="000000"/>
            </w:tcBorders>
            <w:hideMark/>
          </w:tcPr>
          <w:p w14:paraId="7615E1DB" w14:textId="6EE9EB2C" w:rsidR="00B00937" w:rsidRPr="00B00937" w:rsidRDefault="00B00937" w:rsidP="00D12DAA">
            <w:pPr>
              <w:jc w:val="both"/>
              <w:rPr>
                <w:rFonts w:ascii="Times New Roman" w:hAnsi="Times New Roman" w:cs="Times New Roman"/>
                <w:sz w:val="24"/>
                <w:szCs w:val="24"/>
              </w:rPr>
            </w:pPr>
            <w:r w:rsidRPr="00B00937">
              <w:rPr>
                <w:rFonts w:ascii="Times New Roman" w:hAnsi="Times New Roman" w:cs="Times New Roman"/>
                <w:b/>
                <w:bCs/>
                <w:sz w:val="24"/>
                <w:szCs w:val="24"/>
              </w:rPr>
              <w:t xml:space="preserve">High </w:t>
            </w:r>
            <w:proofErr w:type="spellStart"/>
            <w:r w:rsidR="00D12DAA" w:rsidRPr="00D12DAA">
              <w:rPr>
                <w:rFonts w:ascii="Times New Roman" w:hAnsi="Times New Roman" w:cs="Times New Roman"/>
                <w:b/>
                <w:bCs/>
                <w:sz w:val="24"/>
                <w:szCs w:val="24"/>
              </w:rPr>
              <w:t>likelihood</w:t>
            </w:r>
            <w:proofErr w:type="spellEnd"/>
          </w:p>
        </w:tc>
        <w:tc>
          <w:tcPr>
            <w:tcW w:w="1733" w:type="dxa"/>
            <w:tcBorders>
              <w:top w:val="single" w:sz="2" w:space="0" w:color="000000"/>
              <w:left w:val="single" w:sz="2" w:space="0" w:color="000000"/>
              <w:bottom w:val="single" w:sz="2" w:space="0" w:color="000000"/>
              <w:right w:val="single" w:sz="2" w:space="0" w:color="000000"/>
            </w:tcBorders>
          </w:tcPr>
          <w:p w14:paraId="4086816D" w14:textId="77777777" w:rsidR="00B00937" w:rsidRPr="00B00937" w:rsidRDefault="00B00937" w:rsidP="00D12DAA">
            <w:pPr>
              <w:jc w:val="both"/>
              <w:rPr>
                <w:rFonts w:ascii="Times New Roman" w:hAnsi="Times New Roman" w:cs="Times New Roman"/>
                <w:sz w:val="24"/>
                <w:szCs w:val="24"/>
              </w:rPr>
            </w:pPr>
          </w:p>
        </w:tc>
        <w:tc>
          <w:tcPr>
            <w:tcW w:w="2640" w:type="dxa"/>
            <w:tcBorders>
              <w:top w:val="single" w:sz="2" w:space="0" w:color="000000"/>
              <w:left w:val="single" w:sz="2" w:space="0" w:color="000000"/>
              <w:bottom w:val="single" w:sz="2" w:space="0" w:color="000000"/>
              <w:right w:val="single" w:sz="2" w:space="0" w:color="000000"/>
            </w:tcBorders>
          </w:tcPr>
          <w:p w14:paraId="031FF79C" w14:textId="754D9E3E" w:rsidR="00B00937" w:rsidRPr="00B00937" w:rsidRDefault="00B00937" w:rsidP="00D12DAA">
            <w:pPr>
              <w:jc w:val="both"/>
              <w:rPr>
                <w:rFonts w:ascii="Times New Roman" w:hAnsi="Times New Roman" w:cs="Times New Roman"/>
                <w:sz w:val="24"/>
                <w:szCs w:val="24"/>
              </w:rPr>
            </w:pPr>
          </w:p>
        </w:tc>
        <w:tc>
          <w:tcPr>
            <w:tcW w:w="2187" w:type="dxa"/>
            <w:tcBorders>
              <w:top w:val="single" w:sz="2" w:space="0" w:color="000000"/>
              <w:left w:val="single" w:sz="2" w:space="0" w:color="000000"/>
              <w:bottom w:val="single" w:sz="2" w:space="0" w:color="000000"/>
              <w:right w:val="single" w:sz="2" w:space="0" w:color="000000"/>
            </w:tcBorders>
          </w:tcPr>
          <w:p w14:paraId="7C6ADA4F" w14:textId="77777777" w:rsidR="00B00937" w:rsidRPr="00B00937" w:rsidRDefault="00B00937" w:rsidP="00D12DAA">
            <w:pPr>
              <w:jc w:val="both"/>
              <w:rPr>
                <w:rFonts w:ascii="Times New Roman" w:hAnsi="Times New Roman" w:cs="Times New Roman"/>
                <w:sz w:val="24"/>
                <w:szCs w:val="24"/>
              </w:rPr>
            </w:pPr>
          </w:p>
        </w:tc>
      </w:tr>
      <w:tr w:rsidR="00B00937" w:rsidRPr="00B00937" w14:paraId="17444041" w14:textId="77777777" w:rsidTr="00D12DAA">
        <w:tc>
          <w:tcPr>
            <w:tcW w:w="2800" w:type="dxa"/>
            <w:tcBorders>
              <w:top w:val="single" w:sz="2" w:space="0" w:color="000000"/>
              <w:left w:val="single" w:sz="2" w:space="0" w:color="000000"/>
              <w:bottom w:val="single" w:sz="2" w:space="0" w:color="000000"/>
              <w:right w:val="single" w:sz="2" w:space="0" w:color="000000"/>
            </w:tcBorders>
            <w:hideMark/>
          </w:tcPr>
          <w:p w14:paraId="5AF5F86C" w14:textId="6A7ADC05" w:rsidR="00B00937" w:rsidRPr="00B00937" w:rsidRDefault="00B00937" w:rsidP="00D12DAA">
            <w:pPr>
              <w:jc w:val="both"/>
              <w:rPr>
                <w:rFonts w:ascii="Times New Roman" w:hAnsi="Times New Roman" w:cs="Times New Roman"/>
                <w:sz w:val="24"/>
                <w:szCs w:val="24"/>
              </w:rPr>
            </w:pPr>
            <w:proofErr w:type="spellStart"/>
            <w:r w:rsidRPr="00B00937">
              <w:rPr>
                <w:rFonts w:ascii="Times New Roman" w:hAnsi="Times New Roman" w:cs="Times New Roman"/>
                <w:b/>
                <w:bCs/>
                <w:sz w:val="24"/>
                <w:szCs w:val="24"/>
              </w:rPr>
              <w:t>Medium</w:t>
            </w:r>
            <w:proofErr w:type="spellEnd"/>
            <w:r w:rsidRPr="00B00937">
              <w:rPr>
                <w:rFonts w:ascii="Times New Roman" w:hAnsi="Times New Roman" w:cs="Times New Roman"/>
                <w:b/>
                <w:bCs/>
                <w:sz w:val="24"/>
                <w:szCs w:val="24"/>
              </w:rPr>
              <w:t xml:space="preserve"> </w:t>
            </w:r>
            <w:proofErr w:type="spellStart"/>
            <w:r w:rsidR="00D12DAA" w:rsidRPr="00D12DAA">
              <w:rPr>
                <w:rFonts w:ascii="Times New Roman" w:hAnsi="Times New Roman" w:cs="Times New Roman"/>
                <w:b/>
                <w:bCs/>
                <w:sz w:val="24"/>
                <w:szCs w:val="24"/>
              </w:rPr>
              <w:t>likelihood</w:t>
            </w:r>
            <w:proofErr w:type="spellEnd"/>
          </w:p>
        </w:tc>
        <w:tc>
          <w:tcPr>
            <w:tcW w:w="1733" w:type="dxa"/>
            <w:tcBorders>
              <w:top w:val="single" w:sz="2" w:space="0" w:color="000000"/>
              <w:left w:val="single" w:sz="2" w:space="0" w:color="000000"/>
              <w:bottom w:val="single" w:sz="2" w:space="0" w:color="000000"/>
              <w:right w:val="single" w:sz="2" w:space="0" w:color="000000"/>
            </w:tcBorders>
          </w:tcPr>
          <w:p w14:paraId="29481DDA" w14:textId="77777777" w:rsidR="00B00937" w:rsidRPr="00B00937" w:rsidRDefault="00B00937" w:rsidP="00D12DAA">
            <w:pPr>
              <w:jc w:val="both"/>
              <w:rPr>
                <w:rFonts w:ascii="Times New Roman" w:hAnsi="Times New Roman" w:cs="Times New Roman"/>
                <w:sz w:val="24"/>
                <w:szCs w:val="24"/>
              </w:rPr>
            </w:pPr>
          </w:p>
        </w:tc>
        <w:tc>
          <w:tcPr>
            <w:tcW w:w="2640" w:type="dxa"/>
            <w:tcBorders>
              <w:top w:val="single" w:sz="2" w:space="0" w:color="000000"/>
              <w:left w:val="single" w:sz="2" w:space="0" w:color="000000"/>
              <w:bottom w:val="single" w:sz="2" w:space="0" w:color="000000"/>
              <w:right w:val="single" w:sz="2" w:space="0" w:color="000000"/>
            </w:tcBorders>
          </w:tcPr>
          <w:p w14:paraId="4EAE0D22" w14:textId="07F1E2A2" w:rsidR="00B00937" w:rsidRPr="00B00937" w:rsidRDefault="00B00937" w:rsidP="00D12DAA">
            <w:pPr>
              <w:jc w:val="both"/>
              <w:rPr>
                <w:rFonts w:ascii="Times New Roman" w:hAnsi="Times New Roman" w:cs="Times New Roman"/>
                <w:sz w:val="24"/>
                <w:szCs w:val="24"/>
              </w:rPr>
            </w:pPr>
          </w:p>
        </w:tc>
        <w:tc>
          <w:tcPr>
            <w:tcW w:w="2187" w:type="dxa"/>
            <w:tcBorders>
              <w:top w:val="single" w:sz="2" w:space="0" w:color="000000"/>
              <w:left w:val="single" w:sz="2" w:space="0" w:color="000000"/>
              <w:bottom w:val="single" w:sz="2" w:space="0" w:color="000000"/>
              <w:right w:val="single" w:sz="2" w:space="0" w:color="000000"/>
            </w:tcBorders>
          </w:tcPr>
          <w:p w14:paraId="063AC27F" w14:textId="77777777" w:rsidR="00B00937" w:rsidRPr="00B00937" w:rsidRDefault="00B00937" w:rsidP="00D12DAA">
            <w:pPr>
              <w:jc w:val="both"/>
              <w:rPr>
                <w:rFonts w:ascii="Times New Roman" w:hAnsi="Times New Roman" w:cs="Times New Roman"/>
                <w:sz w:val="24"/>
                <w:szCs w:val="24"/>
              </w:rPr>
            </w:pPr>
          </w:p>
        </w:tc>
      </w:tr>
      <w:tr w:rsidR="00B00937" w:rsidRPr="00B00937" w14:paraId="75500024" w14:textId="77777777" w:rsidTr="00D12DAA">
        <w:tc>
          <w:tcPr>
            <w:tcW w:w="2800" w:type="dxa"/>
            <w:tcBorders>
              <w:top w:val="single" w:sz="2" w:space="0" w:color="000000"/>
              <w:left w:val="single" w:sz="2" w:space="0" w:color="000000"/>
              <w:bottom w:val="single" w:sz="2" w:space="0" w:color="000000"/>
              <w:right w:val="single" w:sz="2" w:space="0" w:color="000000"/>
            </w:tcBorders>
            <w:hideMark/>
          </w:tcPr>
          <w:p w14:paraId="3061C758" w14:textId="6612867D" w:rsidR="00B00937" w:rsidRPr="00B00937" w:rsidRDefault="00B00937" w:rsidP="00D12DAA">
            <w:pPr>
              <w:jc w:val="both"/>
              <w:rPr>
                <w:rFonts w:ascii="Times New Roman" w:hAnsi="Times New Roman" w:cs="Times New Roman"/>
                <w:sz w:val="24"/>
                <w:szCs w:val="24"/>
              </w:rPr>
            </w:pPr>
            <w:proofErr w:type="spellStart"/>
            <w:r w:rsidRPr="00B00937">
              <w:rPr>
                <w:rFonts w:ascii="Times New Roman" w:hAnsi="Times New Roman" w:cs="Times New Roman"/>
                <w:b/>
                <w:bCs/>
                <w:sz w:val="24"/>
                <w:szCs w:val="24"/>
              </w:rPr>
              <w:t>Low</w:t>
            </w:r>
            <w:proofErr w:type="spellEnd"/>
            <w:r w:rsidRPr="00B00937">
              <w:rPr>
                <w:rFonts w:ascii="Times New Roman" w:hAnsi="Times New Roman" w:cs="Times New Roman"/>
                <w:b/>
                <w:bCs/>
                <w:sz w:val="24"/>
                <w:szCs w:val="24"/>
              </w:rPr>
              <w:t xml:space="preserve"> </w:t>
            </w:r>
            <w:proofErr w:type="spellStart"/>
            <w:r w:rsidR="00D12DAA" w:rsidRPr="00D12DAA">
              <w:rPr>
                <w:rFonts w:ascii="Times New Roman" w:hAnsi="Times New Roman" w:cs="Times New Roman"/>
                <w:b/>
                <w:bCs/>
                <w:sz w:val="24"/>
                <w:szCs w:val="24"/>
              </w:rPr>
              <w:t>likelihood</w:t>
            </w:r>
            <w:proofErr w:type="spellEnd"/>
          </w:p>
        </w:tc>
        <w:tc>
          <w:tcPr>
            <w:tcW w:w="1733" w:type="dxa"/>
            <w:tcBorders>
              <w:top w:val="single" w:sz="2" w:space="0" w:color="000000"/>
              <w:left w:val="single" w:sz="2" w:space="0" w:color="000000"/>
              <w:bottom w:val="single" w:sz="2" w:space="0" w:color="000000"/>
              <w:right w:val="single" w:sz="2" w:space="0" w:color="000000"/>
            </w:tcBorders>
          </w:tcPr>
          <w:p w14:paraId="32294A9E" w14:textId="77777777" w:rsidR="00B00937" w:rsidRPr="00B00937" w:rsidRDefault="00B00937" w:rsidP="00D12DAA">
            <w:pPr>
              <w:jc w:val="both"/>
              <w:rPr>
                <w:rFonts w:ascii="Times New Roman" w:hAnsi="Times New Roman" w:cs="Times New Roman"/>
                <w:sz w:val="24"/>
                <w:szCs w:val="24"/>
              </w:rPr>
            </w:pPr>
          </w:p>
        </w:tc>
        <w:tc>
          <w:tcPr>
            <w:tcW w:w="2640" w:type="dxa"/>
            <w:tcBorders>
              <w:top w:val="single" w:sz="2" w:space="0" w:color="000000"/>
              <w:left w:val="single" w:sz="2" w:space="0" w:color="000000"/>
              <w:bottom w:val="single" w:sz="2" w:space="0" w:color="000000"/>
              <w:right w:val="single" w:sz="2" w:space="0" w:color="000000"/>
            </w:tcBorders>
          </w:tcPr>
          <w:p w14:paraId="75206C75" w14:textId="632C4EE7" w:rsidR="00B00937" w:rsidRPr="00B00937" w:rsidRDefault="00B00937" w:rsidP="00D12DAA">
            <w:pPr>
              <w:jc w:val="both"/>
              <w:rPr>
                <w:rFonts w:ascii="Times New Roman" w:hAnsi="Times New Roman" w:cs="Times New Roman"/>
                <w:sz w:val="24"/>
                <w:szCs w:val="24"/>
              </w:rPr>
            </w:pPr>
          </w:p>
        </w:tc>
        <w:tc>
          <w:tcPr>
            <w:tcW w:w="2187" w:type="dxa"/>
            <w:tcBorders>
              <w:top w:val="single" w:sz="2" w:space="0" w:color="000000"/>
              <w:left w:val="single" w:sz="2" w:space="0" w:color="000000"/>
              <w:bottom w:val="single" w:sz="2" w:space="0" w:color="000000"/>
              <w:right w:val="single" w:sz="2" w:space="0" w:color="000000"/>
            </w:tcBorders>
          </w:tcPr>
          <w:p w14:paraId="77EDB545" w14:textId="77777777" w:rsidR="00B00937" w:rsidRPr="00B00937" w:rsidRDefault="00B00937" w:rsidP="00D12DAA">
            <w:pPr>
              <w:jc w:val="both"/>
              <w:rPr>
                <w:rFonts w:ascii="Times New Roman" w:hAnsi="Times New Roman" w:cs="Times New Roman"/>
                <w:sz w:val="24"/>
                <w:szCs w:val="24"/>
              </w:rPr>
            </w:pPr>
          </w:p>
        </w:tc>
      </w:tr>
    </w:tbl>
    <w:p w14:paraId="7B476054" w14:textId="1CA4ACB4" w:rsidR="00B00937" w:rsidRPr="00D12DAA" w:rsidRDefault="00D12DAA" w:rsidP="00D12DAA">
      <w:pPr>
        <w:jc w:val="both"/>
        <w:rPr>
          <w:rFonts w:ascii="Times New Roman" w:hAnsi="Times New Roman" w:cs="Times New Roman"/>
          <w:sz w:val="24"/>
          <w:szCs w:val="24"/>
          <w:lang w:val="en-US"/>
        </w:rPr>
      </w:pPr>
      <w:r w:rsidRPr="00D12DAA">
        <w:rPr>
          <w:rFonts w:ascii="Times New Roman" w:hAnsi="Times New Roman" w:cs="Times New Roman"/>
          <w:sz w:val="24"/>
          <w:szCs w:val="24"/>
          <w:lang w:val="en-US"/>
        </w:rPr>
        <w:t>* This risk classification by level of infringement of competition law is advisory in nature and may be adjusted according to the specific nature of market activity.</w:t>
      </w:r>
    </w:p>
    <w:sectPr w:rsidR="00B00937" w:rsidRPr="00D12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EDD"/>
    <w:multiLevelType w:val="multilevel"/>
    <w:tmpl w:val="77C8B0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62CCD"/>
    <w:multiLevelType w:val="multilevel"/>
    <w:tmpl w:val="FF1445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75F3F"/>
    <w:multiLevelType w:val="multilevel"/>
    <w:tmpl w:val="7B34FB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C1207"/>
    <w:multiLevelType w:val="multilevel"/>
    <w:tmpl w:val="80FE17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018D9"/>
    <w:multiLevelType w:val="multilevel"/>
    <w:tmpl w:val="FB3278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613EF"/>
    <w:multiLevelType w:val="multilevel"/>
    <w:tmpl w:val="C14C30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5E13A4"/>
    <w:multiLevelType w:val="multilevel"/>
    <w:tmpl w:val="5EA8C8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80D44"/>
    <w:multiLevelType w:val="multilevel"/>
    <w:tmpl w:val="4DAC57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F6961"/>
    <w:multiLevelType w:val="hybridMultilevel"/>
    <w:tmpl w:val="D3A88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B11845"/>
    <w:multiLevelType w:val="multilevel"/>
    <w:tmpl w:val="65A251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157B47"/>
    <w:multiLevelType w:val="multilevel"/>
    <w:tmpl w:val="2F0C562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967505"/>
    <w:multiLevelType w:val="multilevel"/>
    <w:tmpl w:val="1CDA21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B30E97"/>
    <w:multiLevelType w:val="multilevel"/>
    <w:tmpl w:val="CB80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D0A0D"/>
    <w:multiLevelType w:val="multilevel"/>
    <w:tmpl w:val="8C2E4A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307344"/>
    <w:multiLevelType w:val="multilevel"/>
    <w:tmpl w:val="99B0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3761F1"/>
    <w:multiLevelType w:val="multilevel"/>
    <w:tmpl w:val="50F67F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4535BA"/>
    <w:multiLevelType w:val="multilevel"/>
    <w:tmpl w:val="DB48FB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F17072"/>
    <w:multiLevelType w:val="multilevel"/>
    <w:tmpl w:val="37EA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47337">
    <w:abstractNumId w:val="12"/>
  </w:num>
  <w:num w:numId="2" w16cid:durableId="1777092531">
    <w:abstractNumId w:val="11"/>
  </w:num>
  <w:num w:numId="3" w16cid:durableId="1007975369">
    <w:abstractNumId w:val="7"/>
  </w:num>
  <w:num w:numId="4" w16cid:durableId="596668699">
    <w:abstractNumId w:val="13"/>
  </w:num>
  <w:num w:numId="5" w16cid:durableId="240339874">
    <w:abstractNumId w:val="5"/>
  </w:num>
  <w:num w:numId="6" w16cid:durableId="182940757">
    <w:abstractNumId w:val="16"/>
  </w:num>
  <w:num w:numId="7" w16cid:durableId="2108382452">
    <w:abstractNumId w:val="9"/>
  </w:num>
  <w:num w:numId="8" w16cid:durableId="1103376286">
    <w:abstractNumId w:val="3"/>
  </w:num>
  <w:num w:numId="9" w16cid:durableId="1638728871">
    <w:abstractNumId w:val="8"/>
  </w:num>
  <w:num w:numId="10" w16cid:durableId="1264724743">
    <w:abstractNumId w:val="0"/>
  </w:num>
  <w:num w:numId="11" w16cid:durableId="1716927842">
    <w:abstractNumId w:val="15"/>
  </w:num>
  <w:num w:numId="12" w16cid:durableId="663044816">
    <w:abstractNumId w:val="2"/>
  </w:num>
  <w:num w:numId="13" w16cid:durableId="1146779602">
    <w:abstractNumId w:val="10"/>
  </w:num>
  <w:num w:numId="14" w16cid:durableId="986276695">
    <w:abstractNumId w:val="1"/>
  </w:num>
  <w:num w:numId="15" w16cid:durableId="1413430974">
    <w:abstractNumId w:val="14"/>
  </w:num>
  <w:num w:numId="16" w16cid:durableId="1407613186">
    <w:abstractNumId w:val="6"/>
  </w:num>
  <w:num w:numId="17" w16cid:durableId="367605866">
    <w:abstractNumId w:val="4"/>
  </w:num>
  <w:num w:numId="18" w16cid:durableId="7958319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F8"/>
    <w:rsid w:val="00084B51"/>
    <w:rsid w:val="00120F43"/>
    <w:rsid w:val="001C5C6F"/>
    <w:rsid w:val="00244565"/>
    <w:rsid w:val="002B55BB"/>
    <w:rsid w:val="002D78D5"/>
    <w:rsid w:val="006E2F79"/>
    <w:rsid w:val="00717F5C"/>
    <w:rsid w:val="007F2258"/>
    <w:rsid w:val="008415C4"/>
    <w:rsid w:val="00875DD1"/>
    <w:rsid w:val="008F57F8"/>
    <w:rsid w:val="0095689C"/>
    <w:rsid w:val="00995102"/>
    <w:rsid w:val="00B00937"/>
    <w:rsid w:val="00B26D28"/>
    <w:rsid w:val="00D12DAA"/>
    <w:rsid w:val="00E66267"/>
    <w:rsid w:val="00E70F2A"/>
    <w:rsid w:val="00ED385B"/>
    <w:rsid w:val="00F0711E"/>
    <w:rsid w:val="00F81498"/>
    <w:rsid w:val="00FA60CD"/>
    <w:rsid w:val="00FD3AF8"/>
    <w:rsid w:val="00FE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F7B7"/>
  <w15:chartTrackingRefBased/>
  <w15:docId w15:val="{4AF7DB5F-1C25-4B19-8FEF-939E657B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3A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D3A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D3A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D3A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D3A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D3A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3A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3A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3A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3A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3A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3A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3AF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3AF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3A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3AF8"/>
    <w:rPr>
      <w:rFonts w:eastAsiaTheme="majorEastAsia" w:cstheme="majorBidi"/>
      <w:color w:val="595959" w:themeColor="text1" w:themeTint="A6"/>
    </w:rPr>
  </w:style>
  <w:style w:type="character" w:customStyle="1" w:styleId="80">
    <w:name w:val="Заголовок 8 Знак"/>
    <w:basedOn w:val="a0"/>
    <w:link w:val="8"/>
    <w:uiPriority w:val="9"/>
    <w:semiHidden/>
    <w:rsid w:val="00FD3A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3AF8"/>
    <w:rPr>
      <w:rFonts w:eastAsiaTheme="majorEastAsia" w:cstheme="majorBidi"/>
      <w:color w:val="272727" w:themeColor="text1" w:themeTint="D8"/>
    </w:rPr>
  </w:style>
  <w:style w:type="paragraph" w:styleId="a3">
    <w:name w:val="Title"/>
    <w:basedOn w:val="a"/>
    <w:next w:val="a"/>
    <w:link w:val="a4"/>
    <w:uiPriority w:val="10"/>
    <w:qFormat/>
    <w:rsid w:val="00FD3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D3A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3AF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3A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3AF8"/>
    <w:pPr>
      <w:spacing w:before="160"/>
      <w:jc w:val="center"/>
    </w:pPr>
    <w:rPr>
      <w:i/>
      <w:iCs/>
      <w:color w:val="404040" w:themeColor="text1" w:themeTint="BF"/>
    </w:rPr>
  </w:style>
  <w:style w:type="character" w:customStyle="1" w:styleId="22">
    <w:name w:val="Цитата 2 Знак"/>
    <w:basedOn w:val="a0"/>
    <w:link w:val="21"/>
    <w:uiPriority w:val="29"/>
    <w:rsid w:val="00FD3AF8"/>
    <w:rPr>
      <w:i/>
      <w:iCs/>
      <w:color w:val="404040" w:themeColor="text1" w:themeTint="BF"/>
    </w:rPr>
  </w:style>
  <w:style w:type="paragraph" w:styleId="a7">
    <w:name w:val="List Paragraph"/>
    <w:basedOn w:val="a"/>
    <w:uiPriority w:val="34"/>
    <w:qFormat/>
    <w:rsid w:val="00FD3AF8"/>
    <w:pPr>
      <w:ind w:left="720"/>
      <w:contextualSpacing/>
    </w:pPr>
  </w:style>
  <w:style w:type="character" w:styleId="a8">
    <w:name w:val="Intense Emphasis"/>
    <w:basedOn w:val="a0"/>
    <w:uiPriority w:val="21"/>
    <w:qFormat/>
    <w:rsid w:val="00FD3AF8"/>
    <w:rPr>
      <w:i/>
      <w:iCs/>
      <w:color w:val="2F5496" w:themeColor="accent1" w:themeShade="BF"/>
    </w:rPr>
  </w:style>
  <w:style w:type="paragraph" w:styleId="a9">
    <w:name w:val="Intense Quote"/>
    <w:basedOn w:val="a"/>
    <w:next w:val="a"/>
    <w:link w:val="aa"/>
    <w:uiPriority w:val="30"/>
    <w:qFormat/>
    <w:rsid w:val="00FD3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D3AF8"/>
    <w:rPr>
      <w:i/>
      <w:iCs/>
      <w:color w:val="2F5496" w:themeColor="accent1" w:themeShade="BF"/>
    </w:rPr>
  </w:style>
  <w:style w:type="character" w:styleId="ab">
    <w:name w:val="Intense Reference"/>
    <w:basedOn w:val="a0"/>
    <w:uiPriority w:val="32"/>
    <w:qFormat/>
    <w:rsid w:val="00FD3AF8"/>
    <w:rPr>
      <w:b/>
      <w:bCs/>
      <w:smallCaps/>
      <w:color w:val="2F5496" w:themeColor="accent1" w:themeShade="BF"/>
      <w:spacing w:val="5"/>
    </w:rPr>
  </w:style>
  <w:style w:type="paragraph" w:styleId="ac">
    <w:name w:val="Normal (Web)"/>
    <w:basedOn w:val="a"/>
    <w:uiPriority w:val="99"/>
    <w:semiHidden/>
    <w:unhideWhenUsed/>
    <w:rsid w:val="00F0711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d">
    <w:name w:val="Strong"/>
    <w:basedOn w:val="a0"/>
    <w:uiPriority w:val="22"/>
    <w:qFormat/>
    <w:rsid w:val="00F0711E"/>
    <w:rPr>
      <w:b/>
      <w:bCs/>
    </w:rPr>
  </w:style>
  <w:style w:type="paragraph" w:customStyle="1" w:styleId="isselectedend">
    <w:name w:val="isselectedend"/>
    <w:basedOn w:val="a"/>
    <w:rsid w:val="008F57F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nt-claude-response-body">
    <w:name w:val="font-claude-response-body"/>
    <w:basedOn w:val="a"/>
    <w:rsid w:val="0099510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08165">
      <w:bodyDiv w:val="1"/>
      <w:marLeft w:val="0"/>
      <w:marRight w:val="0"/>
      <w:marTop w:val="0"/>
      <w:marBottom w:val="0"/>
      <w:divBdr>
        <w:top w:val="none" w:sz="0" w:space="0" w:color="auto"/>
        <w:left w:val="none" w:sz="0" w:space="0" w:color="auto"/>
        <w:bottom w:val="none" w:sz="0" w:space="0" w:color="auto"/>
        <w:right w:val="none" w:sz="0" w:space="0" w:color="auto"/>
      </w:divBdr>
    </w:div>
    <w:div w:id="16573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998</Words>
  <Characters>5693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Parizoda Zuxurova</dc:creator>
  <cp:keywords/>
  <dc:description/>
  <cp:lastModifiedBy>Parizoda Zuxurova</cp:lastModifiedBy>
  <cp:revision>3</cp:revision>
  <dcterms:created xsi:type="dcterms:W3CDTF">2026-07-03T06:02:00Z</dcterms:created>
  <dcterms:modified xsi:type="dcterms:W3CDTF">2026-07-03T06:11:00Z</dcterms:modified>
</cp:coreProperties>
</file>