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64BE0" w14:textId="77777777" w:rsidR="00570480" w:rsidRPr="000778BD" w:rsidRDefault="00000000" w:rsidP="000778BD">
      <w:pPr>
        <w:spacing w:after="0" w:line="259" w:lineRule="auto"/>
        <w:ind w:left="5529"/>
        <w:jc w:val="center"/>
        <w:rPr>
          <w:rFonts w:eastAsiaTheme="minorHAnsi" w:cs="Times New Roman"/>
          <w:b/>
          <w:szCs w:val="24"/>
        </w:rPr>
      </w:pPr>
      <w:r w:rsidRPr="000778BD">
        <w:rPr>
          <w:rFonts w:eastAsiaTheme="minorHAnsi" w:cs="Times New Roman"/>
          <w:b/>
          <w:szCs w:val="24"/>
        </w:rPr>
        <w:t>“APPROVED”</w:t>
      </w:r>
    </w:p>
    <w:p w14:paraId="0AC99131" w14:textId="77777777" w:rsidR="00570480" w:rsidRPr="000778BD" w:rsidRDefault="00000000" w:rsidP="000778BD">
      <w:pPr>
        <w:spacing w:after="0" w:line="259" w:lineRule="auto"/>
        <w:ind w:left="5529"/>
        <w:jc w:val="center"/>
        <w:rPr>
          <w:rFonts w:eastAsiaTheme="minorHAnsi" w:cs="Times New Roman"/>
          <w:b/>
          <w:szCs w:val="24"/>
        </w:rPr>
      </w:pPr>
      <w:r w:rsidRPr="000778BD">
        <w:rPr>
          <w:rFonts w:eastAsiaTheme="minorHAnsi" w:cs="Times New Roman"/>
          <w:b/>
          <w:szCs w:val="24"/>
        </w:rPr>
        <w:t>Chairman of the Management Board</w:t>
      </w:r>
    </w:p>
    <w:p w14:paraId="71D3BCD8" w14:textId="77777777" w:rsidR="00570480" w:rsidRPr="000778BD" w:rsidRDefault="00000000" w:rsidP="000778BD">
      <w:pPr>
        <w:spacing w:after="0" w:line="259" w:lineRule="auto"/>
        <w:ind w:left="5529"/>
        <w:jc w:val="center"/>
        <w:rPr>
          <w:rFonts w:eastAsiaTheme="minorHAnsi" w:cs="Times New Roman"/>
          <w:b/>
          <w:szCs w:val="24"/>
        </w:rPr>
      </w:pPr>
      <w:r w:rsidRPr="000778BD">
        <w:rPr>
          <w:rFonts w:eastAsiaTheme="minorHAnsi" w:cs="Times New Roman"/>
          <w:b/>
          <w:szCs w:val="24"/>
        </w:rPr>
        <w:t>JSC RSE “Toshkent”</w:t>
      </w:r>
    </w:p>
    <w:p w14:paraId="6300A593" w14:textId="77777777" w:rsidR="00570480" w:rsidRPr="000778BD" w:rsidRDefault="00000000" w:rsidP="000778BD">
      <w:pPr>
        <w:spacing w:after="0" w:line="259" w:lineRule="auto"/>
        <w:ind w:left="5529"/>
        <w:jc w:val="center"/>
        <w:rPr>
          <w:rFonts w:eastAsiaTheme="minorHAnsi" w:cs="Times New Roman"/>
          <w:b/>
          <w:szCs w:val="24"/>
        </w:rPr>
      </w:pPr>
      <w:r w:rsidRPr="000778BD">
        <w:rPr>
          <w:rFonts w:eastAsiaTheme="minorHAnsi" w:cs="Times New Roman"/>
          <w:b/>
          <w:szCs w:val="24"/>
        </w:rPr>
        <w:t xml:space="preserve">_____________ G.O. </w:t>
      </w:r>
      <w:proofErr w:type="spellStart"/>
      <w:r w:rsidRPr="000778BD">
        <w:rPr>
          <w:rFonts w:eastAsiaTheme="minorHAnsi" w:cs="Times New Roman"/>
          <w:b/>
          <w:szCs w:val="24"/>
        </w:rPr>
        <w:t>Paresishvili</w:t>
      </w:r>
      <w:proofErr w:type="spellEnd"/>
    </w:p>
    <w:p w14:paraId="2ADCE307" w14:textId="77777777" w:rsidR="00570480" w:rsidRPr="000778BD" w:rsidRDefault="00000000" w:rsidP="000778BD">
      <w:pPr>
        <w:spacing w:after="0" w:line="259" w:lineRule="auto"/>
        <w:ind w:left="5529"/>
        <w:jc w:val="center"/>
        <w:rPr>
          <w:rFonts w:eastAsiaTheme="minorHAnsi" w:cs="Times New Roman"/>
          <w:b/>
          <w:szCs w:val="24"/>
        </w:rPr>
      </w:pPr>
      <w:r w:rsidRPr="000778BD">
        <w:rPr>
          <w:rFonts w:eastAsiaTheme="minorHAnsi" w:cs="Times New Roman"/>
          <w:b/>
          <w:szCs w:val="24"/>
        </w:rPr>
        <w:t>“12” April 2023</w:t>
      </w:r>
    </w:p>
    <w:p w14:paraId="76FE4939" w14:textId="77777777" w:rsidR="00570480" w:rsidRDefault="00570480"/>
    <w:p w14:paraId="144C0D11" w14:textId="77777777" w:rsidR="00570480" w:rsidRDefault="00570480"/>
    <w:p w14:paraId="449DF44E" w14:textId="77777777" w:rsidR="00570480" w:rsidRDefault="00570480"/>
    <w:p w14:paraId="7AB237D6" w14:textId="77777777" w:rsidR="00570480" w:rsidRPr="004C51D0" w:rsidRDefault="00570480"/>
    <w:p w14:paraId="72813870" w14:textId="77777777" w:rsidR="00B46DE2" w:rsidRPr="004C51D0" w:rsidRDefault="00B46DE2"/>
    <w:p w14:paraId="76527E70" w14:textId="77777777" w:rsidR="00B46DE2" w:rsidRPr="004C51D0" w:rsidRDefault="00B46DE2"/>
    <w:p w14:paraId="2E2E4D2A" w14:textId="77777777" w:rsidR="00B46DE2" w:rsidRPr="004C51D0" w:rsidRDefault="00B46DE2"/>
    <w:p w14:paraId="643AC900" w14:textId="77777777" w:rsidR="00B46DE2" w:rsidRPr="004C51D0" w:rsidRDefault="00B46DE2"/>
    <w:p w14:paraId="22151557" w14:textId="77777777" w:rsidR="00570480" w:rsidRDefault="00570480"/>
    <w:p w14:paraId="1DE0632E" w14:textId="2F152355" w:rsidR="00570480" w:rsidRDefault="00000000">
      <w:pPr>
        <w:spacing w:after="0"/>
        <w:jc w:val="center"/>
      </w:pPr>
      <w:r>
        <w:rPr>
          <w:b/>
          <w:sz w:val="32"/>
        </w:rPr>
        <w:t>Regulation</w:t>
      </w:r>
      <w:r>
        <w:rPr>
          <w:b/>
          <w:sz w:val="32"/>
        </w:rPr>
        <w:br/>
      </w:r>
      <w:r>
        <w:rPr>
          <w:b/>
          <w:sz w:val="28"/>
        </w:rPr>
        <w:t xml:space="preserve">on the </w:t>
      </w:r>
      <w:r w:rsidR="00F4690C">
        <w:rPr>
          <w:b/>
          <w:sz w:val="28"/>
        </w:rPr>
        <w:t>a</w:t>
      </w:r>
      <w:r>
        <w:rPr>
          <w:b/>
          <w:sz w:val="28"/>
        </w:rPr>
        <w:t xml:space="preserve">ssessment of </w:t>
      </w:r>
      <w:r w:rsidR="00F4690C">
        <w:rPr>
          <w:b/>
          <w:sz w:val="28"/>
        </w:rPr>
        <w:t>c</w:t>
      </w:r>
      <w:r>
        <w:rPr>
          <w:b/>
          <w:sz w:val="28"/>
        </w:rPr>
        <w:t xml:space="preserve">orruption </w:t>
      </w:r>
      <w:r w:rsidR="00F4690C">
        <w:rPr>
          <w:b/>
          <w:sz w:val="28"/>
        </w:rPr>
        <w:t>r</w:t>
      </w:r>
      <w:r>
        <w:rPr>
          <w:b/>
          <w:sz w:val="28"/>
        </w:rPr>
        <w:t>isks</w:t>
      </w:r>
      <w:r w:rsidR="000778BD">
        <w:rPr>
          <w:b/>
          <w:sz w:val="28"/>
        </w:rPr>
        <w:t xml:space="preserve"> </w:t>
      </w:r>
      <w:r>
        <w:rPr>
          <w:b/>
          <w:sz w:val="28"/>
        </w:rPr>
        <w:t>in Joint Stock Company RSE “Toshkent”</w:t>
      </w:r>
      <w:r>
        <w:rPr>
          <w:b/>
          <w:sz w:val="28"/>
        </w:rPr>
        <w:br/>
      </w:r>
    </w:p>
    <w:p w14:paraId="44499482" w14:textId="77777777" w:rsidR="00570480" w:rsidRDefault="00570480"/>
    <w:p w14:paraId="55D30CED" w14:textId="77777777" w:rsidR="00570480" w:rsidRDefault="00570480"/>
    <w:p w14:paraId="1CA3C7CD" w14:textId="77777777" w:rsidR="00570480" w:rsidRDefault="00570480"/>
    <w:p w14:paraId="5234C5EF" w14:textId="77777777" w:rsidR="00570480" w:rsidRDefault="00570480"/>
    <w:p w14:paraId="4D9A4015" w14:textId="77777777" w:rsidR="00570480" w:rsidRDefault="00570480"/>
    <w:p w14:paraId="657744F5" w14:textId="77777777" w:rsidR="00570480" w:rsidRPr="004C51D0" w:rsidRDefault="00570480"/>
    <w:p w14:paraId="672D492E" w14:textId="77777777" w:rsidR="00B46DE2" w:rsidRPr="004C51D0" w:rsidRDefault="00B46DE2"/>
    <w:p w14:paraId="2B9D62D1" w14:textId="77777777" w:rsidR="00570480" w:rsidRDefault="00570480"/>
    <w:p w14:paraId="4FE4B069" w14:textId="77777777" w:rsidR="00570480" w:rsidRDefault="00570480"/>
    <w:p w14:paraId="3563539B" w14:textId="77777777" w:rsidR="00F4690C" w:rsidRDefault="00F4690C"/>
    <w:p w14:paraId="135086BC" w14:textId="77777777" w:rsidR="00570480" w:rsidRDefault="00570480"/>
    <w:p w14:paraId="27180F9A" w14:textId="77777777" w:rsidR="000778BD" w:rsidRDefault="000778BD"/>
    <w:p w14:paraId="55A90CD8" w14:textId="77777777" w:rsidR="000778BD" w:rsidRDefault="000778BD"/>
    <w:p w14:paraId="134DA4EE" w14:textId="77777777" w:rsidR="00570480" w:rsidRDefault="00000000">
      <w:pPr>
        <w:spacing w:after="0" w:line="252" w:lineRule="auto"/>
        <w:jc w:val="center"/>
      </w:pPr>
      <w:r>
        <w:t>Tashkent – 2023</w:t>
      </w:r>
    </w:p>
    <w:p w14:paraId="7F1BDB8C" w14:textId="705D27B5" w:rsidR="00570480" w:rsidRDefault="00000000" w:rsidP="000778BD">
      <w:pPr>
        <w:jc w:val="center"/>
      </w:pPr>
      <w:r>
        <w:br w:type="page"/>
      </w:r>
      <w:r>
        <w:rPr>
          <w:b/>
        </w:rPr>
        <w:lastRenderedPageBreak/>
        <w:t xml:space="preserve">I. General </w:t>
      </w:r>
      <w:r w:rsidR="000778BD">
        <w:rPr>
          <w:b/>
        </w:rPr>
        <w:t>p</w:t>
      </w:r>
      <w:r>
        <w:rPr>
          <w:b/>
        </w:rPr>
        <w:t>rovisions.</w:t>
      </w:r>
    </w:p>
    <w:p w14:paraId="6AC27F1F" w14:textId="494A97DC" w:rsidR="00570480" w:rsidRPr="004C51D0" w:rsidRDefault="00000000" w:rsidP="000778BD">
      <w:pPr>
        <w:tabs>
          <w:tab w:val="left" w:pos="8789"/>
          <w:tab w:val="left" w:pos="9072"/>
        </w:tabs>
        <w:spacing w:after="40" w:line="259" w:lineRule="auto"/>
        <w:ind w:left="-567" w:right="283" w:firstLine="567"/>
        <w:jc w:val="both"/>
        <w:rPr>
          <w:rFonts w:eastAsiaTheme="minorHAnsi" w:cs="Times New Roman"/>
          <w:szCs w:val="24"/>
        </w:rPr>
      </w:pPr>
      <w:r w:rsidRPr="004C51D0">
        <w:rPr>
          <w:rFonts w:eastAsiaTheme="minorHAnsi" w:cs="Times New Roman"/>
          <w:szCs w:val="24"/>
        </w:rPr>
        <w:t xml:space="preserve">1.1. This Regulation on the Assessment of Corruption Risks of Joint Stock Company RSE “Toshkent” (hereinafter </w:t>
      </w:r>
      <w:r w:rsidR="004C51D0" w:rsidRPr="004C51D0">
        <w:rPr>
          <w:rFonts w:eastAsiaTheme="minorHAnsi" w:cs="Times New Roman"/>
          <w:szCs w:val="24"/>
        </w:rPr>
        <w:t xml:space="preserve">- </w:t>
      </w:r>
      <w:r w:rsidRPr="004C51D0">
        <w:rPr>
          <w:rFonts w:eastAsiaTheme="minorHAnsi" w:cs="Times New Roman"/>
          <w:szCs w:val="24"/>
        </w:rPr>
        <w:t xml:space="preserve">“Regulation”) of Joint Stock Company RSE “Toshkent” (hereinafter </w:t>
      </w:r>
      <w:r w:rsidR="004C51D0" w:rsidRPr="004C51D0">
        <w:rPr>
          <w:rFonts w:eastAsiaTheme="minorHAnsi" w:cs="Times New Roman"/>
          <w:szCs w:val="24"/>
        </w:rPr>
        <w:t>-</w:t>
      </w:r>
      <w:r w:rsidRPr="004C51D0">
        <w:rPr>
          <w:rFonts w:eastAsiaTheme="minorHAnsi" w:cs="Times New Roman"/>
          <w:szCs w:val="24"/>
        </w:rPr>
        <w:t>“Exchange”) determines the procedure for assessing corruption risks arising in the performance of the tasks and duties assigned to the Exchange, as well as to the employees of the Exchange (hereinafter</w:t>
      </w:r>
      <w:r w:rsidR="004C51D0" w:rsidRPr="004C51D0">
        <w:rPr>
          <w:rFonts w:eastAsiaTheme="minorHAnsi" w:cs="Times New Roman"/>
          <w:szCs w:val="24"/>
        </w:rPr>
        <w:t xml:space="preserve"> - </w:t>
      </w:r>
      <w:r w:rsidRPr="004C51D0">
        <w:rPr>
          <w:rFonts w:eastAsiaTheme="minorHAnsi" w:cs="Times New Roman"/>
          <w:szCs w:val="24"/>
        </w:rPr>
        <w:t xml:space="preserve"> “Employee”), and is aimed at establishing a unified approach to the assessment of corruption risks at the Exchange.</w:t>
      </w:r>
    </w:p>
    <w:p w14:paraId="4293AC71" w14:textId="77777777" w:rsidR="00570480" w:rsidRPr="004C51D0" w:rsidRDefault="00000000" w:rsidP="000778BD">
      <w:pPr>
        <w:tabs>
          <w:tab w:val="left" w:pos="8789"/>
          <w:tab w:val="left" w:pos="9072"/>
        </w:tabs>
        <w:spacing w:after="40" w:line="259" w:lineRule="auto"/>
        <w:ind w:left="-567" w:right="283" w:firstLine="567"/>
        <w:jc w:val="both"/>
        <w:rPr>
          <w:rFonts w:eastAsiaTheme="minorHAnsi" w:cs="Times New Roman"/>
          <w:szCs w:val="24"/>
        </w:rPr>
      </w:pPr>
      <w:r w:rsidRPr="004C51D0">
        <w:rPr>
          <w:rFonts w:eastAsiaTheme="minorHAnsi" w:cs="Times New Roman"/>
          <w:szCs w:val="24"/>
        </w:rPr>
        <w:t>1.2. The main purpose of this Regulation is to ensure a unified approach to the assessment and minimization of corruption risks at the Exchange, to implement the anti-corruption policy, to facilitate the timely identification and neutralization of various forms of corruption manifestations, and to ensure proper control over the measures taken within the organization to prevent corruption offenses.</w:t>
      </w:r>
    </w:p>
    <w:p w14:paraId="364B3F45" w14:textId="77777777" w:rsidR="00570480" w:rsidRPr="004C51D0" w:rsidRDefault="00000000" w:rsidP="000778BD">
      <w:pPr>
        <w:tabs>
          <w:tab w:val="left" w:pos="8789"/>
          <w:tab w:val="left" w:pos="9072"/>
        </w:tabs>
        <w:spacing w:after="40" w:line="259" w:lineRule="auto"/>
        <w:ind w:left="-567" w:right="283" w:firstLine="567"/>
        <w:jc w:val="both"/>
        <w:rPr>
          <w:rFonts w:eastAsiaTheme="minorHAnsi" w:cs="Times New Roman"/>
          <w:szCs w:val="24"/>
        </w:rPr>
      </w:pPr>
      <w:r w:rsidRPr="004C51D0">
        <w:rPr>
          <w:rFonts w:eastAsiaTheme="minorHAnsi" w:cs="Times New Roman"/>
          <w:szCs w:val="24"/>
        </w:rPr>
        <w:t>1.3. The results of applying these methodological recommendations shall include:</w:t>
      </w:r>
    </w:p>
    <w:p w14:paraId="7FC71A32" w14:textId="77777777" w:rsidR="00570480" w:rsidRPr="004C51D0" w:rsidRDefault="00000000" w:rsidP="000778BD">
      <w:pPr>
        <w:tabs>
          <w:tab w:val="left" w:pos="8789"/>
          <w:tab w:val="left" w:pos="9072"/>
        </w:tabs>
        <w:spacing w:after="40" w:line="259" w:lineRule="auto"/>
        <w:ind w:left="-567" w:right="283" w:firstLine="567"/>
        <w:jc w:val="both"/>
        <w:rPr>
          <w:rFonts w:eastAsiaTheme="minorHAnsi" w:cs="Times New Roman"/>
          <w:szCs w:val="24"/>
        </w:rPr>
      </w:pPr>
      <w:r w:rsidRPr="004C51D0">
        <w:rPr>
          <w:rFonts w:eastAsiaTheme="minorHAnsi" w:cs="Times New Roman"/>
          <w:szCs w:val="24"/>
        </w:rPr>
        <w:t>identification of management processes, actions and decisions during the adoption and implementation of which corruption manifestations (corruption risks) are most likely to arise at the Exchange;</w:t>
      </w:r>
    </w:p>
    <w:p w14:paraId="1444F218" w14:textId="77777777" w:rsidR="00570480" w:rsidRPr="004C51D0" w:rsidRDefault="00000000" w:rsidP="000778BD">
      <w:pPr>
        <w:tabs>
          <w:tab w:val="left" w:pos="8789"/>
          <w:tab w:val="left" w:pos="9072"/>
        </w:tabs>
        <w:spacing w:after="40" w:line="259" w:lineRule="auto"/>
        <w:ind w:left="-567" w:right="283" w:firstLine="567"/>
        <w:jc w:val="both"/>
        <w:rPr>
          <w:rFonts w:eastAsiaTheme="minorHAnsi" w:cs="Times New Roman"/>
          <w:szCs w:val="24"/>
        </w:rPr>
      </w:pPr>
      <w:r w:rsidRPr="004C51D0">
        <w:rPr>
          <w:rFonts w:eastAsiaTheme="minorHAnsi" w:cs="Times New Roman"/>
          <w:szCs w:val="24"/>
        </w:rPr>
        <w:t>determination of specific processes in which there is the highest probability that Employees may commit corruption offenses, both for the purpose of obtaining personal benefit and for obtaining benefits for the Exchange, through a comprehensive analysis of the Exchange’s activities;</w:t>
      </w:r>
    </w:p>
    <w:p w14:paraId="340834FF" w14:textId="77777777" w:rsidR="00570480" w:rsidRPr="004C51D0" w:rsidRDefault="00000000" w:rsidP="000778BD">
      <w:pPr>
        <w:tabs>
          <w:tab w:val="left" w:pos="8789"/>
          <w:tab w:val="left" w:pos="9072"/>
        </w:tabs>
        <w:spacing w:after="40" w:line="259" w:lineRule="auto"/>
        <w:ind w:left="-567" w:right="283" w:firstLine="567"/>
        <w:jc w:val="both"/>
        <w:rPr>
          <w:rFonts w:eastAsiaTheme="minorHAnsi" w:cs="Times New Roman"/>
          <w:szCs w:val="24"/>
        </w:rPr>
      </w:pPr>
      <w:r w:rsidRPr="004C51D0">
        <w:rPr>
          <w:rFonts w:eastAsiaTheme="minorHAnsi" w:cs="Times New Roman"/>
          <w:szCs w:val="24"/>
        </w:rPr>
        <w:t>minimization or elimination of corruption risks in specific management processes;</w:t>
      </w:r>
    </w:p>
    <w:p w14:paraId="39E5EFE8" w14:textId="77777777" w:rsidR="00570480" w:rsidRPr="004C51D0" w:rsidRDefault="00000000" w:rsidP="000778BD">
      <w:pPr>
        <w:tabs>
          <w:tab w:val="left" w:pos="8789"/>
          <w:tab w:val="left" w:pos="9072"/>
        </w:tabs>
        <w:spacing w:after="40" w:line="259" w:lineRule="auto"/>
        <w:ind w:left="-567" w:right="283" w:firstLine="567"/>
        <w:jc w:val="both"/>
        <w:rPr>
          <w:rFonts w:eastAsiaTheme="minorHAnsi" w:cs="Times New Roman"/>
          <w:szCs w:val="24"/>
        </w:rPr>
      </w:pPr>
      <w:r w:rsidRPr="004C51D0">
        <w:rPr>
          <w:rFonts w:eastAsiaTheme="minorHAnsi" w:cs="Times New Roman"/>
          <w:szCs w:val="24"/>
        </w:rPr>
        <w:t>preparation of a corruption risk map arising in the activities of the organization and inclusion of its data in the anti-corruption plans and programs of the organization;</w:t>
      </w:r>
    </w:p>
    <w:p w14:paraId="453165E2" w14:textId="77777777" w:rsidR="00570480" w:rsidRPr="004C51D0" w:rsidRDefault="00000000" w:rsidP="000778BD">
      <w:pPr>
        <w:tabs>
          <w:tab w:val="left" w:pos="8789"/>
          <w:tab w:val="left" w:pos="9072"/>
        </w:tabs>
        <w:spacing w:after="40" w:line="259" w:lineRule="auto"/>
        <w:ind w:left="-567" w:right="283" w:firstLine="567"/>
        <w:jc w:val="both"/>
        <w:rPr>
          <w:rFonts w:eastAsiaTheme="minorHAnsi" w:cs="Times New Roman"/>
          <w:szCs w:val="24"/>
        </w:rPr>
      </w:pPr>
      <w:r w:rsidRPr="004C51D0">
        <w:rPr>
          <w:rFonts w:eastAsiaTheme="minorHAnsi" w:cs="Times New Roman"/>
          <w:szCs w:val="24"/>
        </w:rPr>
        <w:t>determination of risks related to the activities of the Exchange, as well as to the specific features of the design of individual business processes and sub-processes of the Exchange;</w:t>
      </w:r>
    </w:p>
    <w:p w14:paraId="131E5756" w14:textId="77777777" w:rsidR="00570480" w:rsidRPr="004C51D0" w:rsidRDefault="00000000" w:rsidP="000778BD">
      <w:pPr>
        <w:tabs>
          <w:tab w:val="left" w:pos="8789"/>
          <w:tab w:val="left" w:pos="9072"/>
        </w:tabs>
        <w:spacing w:after="40" w:line="259" w:lineRule="auto"/>
        <w:ind w:left="-567" w:right="283" w:firstLine="567"/>
        <w:jc w:val="both"/>
        <w:rPr>
          <w:rFonts w:eastAsiaTheme="minorHAnsi" w:cs="Times New Roman"/>
          <w:szCs w:val="24"/>
        </w:rPr>
      </w:pPr>
      <w:r w:rsidRPr="004C51D0">
        <w:rPr>
          <w:rFonts w:eastAsiaTheme="minorHAnsi" w:cs="Times New Roman"/>
          <w:szCs w:val="24"/>
        </w:rPr>
        <w:t>development of effective preventive measures to minimize corruption risks.</w:t>
      </w:r>
    </w:p>
    <w:p w14:paraId="0E09359E" w14:textId="5108D1DE" w:rsidR="00570480" w:rsidRDefault="00000000">
      <w:pPr>
        <w:spacing w:before="160" w:after="120"/>
        <w:jc w:val="center"/>
      </w:pPr>
      <w:r>
        <w:rPr>
          <w:b/>
        </w:rPr>
        <w:t xml:space="preserve">II. Purpose and </w:t>
      </w:r>
      <w:r w:rsidR="000778BD">
        <w:rPr>
          <w:b/>
        </w:rPr>
        <w:t>s</w:t>
      </w:r>
      <w:r>
        <w:rPr>
          <w:b/>
        </w:rPr>
        <w:t>cope.</w:t>
      </w:r>
    </w:p>
    <w:p w14:paraId="125AAACB" w14:textId="77777777" w:rsidR="00570480" w:rsidRPr="004C51D0" w:rsidRDefault="00000000" w:rsidP="000778BD">
      <w:pPr>
        <w:tabs>
          <w:tab w:val="left" w:pos="8789"/>
        </w:tabs>
        <w:spacing w:after="40" w:line="259" w:lineRule="auto"/>
        <w:ind w:left="-567" w:right="283" w:firstLine="567"/>
        <w:jc w:val="both"/>
        <w:rPr>
          <w:rFonts w:eastAsiaTheme="minorHAnsi" w:cs="Times New Roman"/>
          <w:szCs w:val="24"/>
        </w:rPr>
      </w:pPr>
      <w:r w:rsidRPr="004C51D0">
        <w:rPr>
          <w:rFonts w:eastAsiaTheme="minorHAnsi" w:cs="Times New Roman"/>
          <w:szCs w:val="24"/>
        </w:rPr>
        <w:t>2.1. The assessment of corruption risks at the Exchange includes:</w:t>
      </w:r>
    </w:p>
    <w:p w14:paraId="3B56F0A8" w14:textId="77777777" w:rsidR="00570480" w:rsidRPr="004C51D0" w:rsidRDefault="00000000" w:rsidP="000778BD">
      <w:pPr>
        <w:tabs>
          <w:tab w:val="left" w:pos="8789"/>
        </w:tabs>
        <w:spacing w:after="40" w:line="259" w:lineRule="auto"/>
        <w:ind w:left="-567" w:right="283" w:firstLine="567"/>
        <w:jc w:val="both"/>
        <w:rPr>
          <w:rFonts w:eastAsiaTheme="minorHAnsi" w:cs="Times New Roman"/>
          <w:szCs w:val="24"/>
        </w:rPr>
      </w:pPr>
      <w:r w:rsidRPr="004C51D0">
        <w:rPr>
          <w:rFonts w:eastAsiaTheme="minorHAnsi" w:cs="Times New Roman"/>
          <w:szCs w:val="24"/>
        </w:rPr>
        <w:t>development of a corruption risk map, including a description and level of the identified corruption risks for each function, as well as measures for their elimination;</w:t>
      </w:r>
    </w:p>
    <w:p w14:paraId="115B3EBE" w14:textId="77777777" w:rsidR="00570480" w:rsidRPr="004C51D0" w:rsidRDefault="00000000" w:rsidP="000778BD">
      <w:pPr>
        <w:tabs>
          <w:tab w:val="left" w:pos="8789"/>
        </w:tabs>
        <w:spacing w:after="40" w:line="259" w:lineRule="auto"/>
        <w:ind w:left="-567" w:right="283" w:firstLine="567"/>
        <w:jc w:val="both"/>
        <w:rPr>
          <w:rFonts w:eastAsiaTheme="minorHAnsi" w:cs="Times New Roman"/>
          <w:szCs w:val="24"/>
        </w:rPr>
      </w:pPr>
      <w:r w:rsidRPr="004C51D0">
        <w:rPr>
          <w:rFonts w:eastAsiaTheme="minorHAnsi" w:cs="Times New Roman"/>
          <w:szCs w:val="24"/>
        </w:rPr>
        <w:t>implementation of an anti-corruption program, including anti-corruption measures, responsible persons, the implementation mechanism and execution deadlines.</w:t>
      </w:r>
    </w:p>
    <w:p w14:paraId="7482AD1A" w14:textId="77777777" w:rsidR="00570480" w:rsidRPr="004C51D0" w:rsidRDefault="00000000" w:rsidP="000778BD">
      <w:pPr>
        <w:tabs>
          <w:tab w:val="left" w:pos="8789"/>
        </w:tabs>
        <w:spacing w:after="40" w:line="259" w:lineRule="auto"/>
        <w:ind w:left="-567" w:right="283" w:firstLine="567"/>
        <w:jc w:val="both"/>
        <w:rPr>
          <w:rFonts w:eastAsiaTheme="minorHAnsi" w:cs="Times New Roman"/>
          <w:szCs w:val="24"/>
        </w:rPr>
      </w:pPr>
      <w:r w:rsidRPr="004C51D0">
        <w:rPr>
          <w:rFonts w:eastAsiaTheme="minorHAnsi" w:cs="Times New Roman"/>
          <w:szCs w:val="24"/>
        </w:rPr>
        <w:t>2.2. The assessment of corruption risks at the Exchange is conducted annually and/or upon the occurrence of the following situations:</w:t>
      </w:r>
    </w:p>
    <w:p w14:paraId="5437B37B" w14:textId="42A318A5" w:rsidR="00570480" w:rsidRPr="000778BD" w:rsidRDefault="000778BD" w:rsidP="000778BD">
      <w:pPr>
        <w:tabs>
          <w:tab w:val="left" w:pos="8789"/>
        </w:tabs>
        <w:spacing w:after="40" w:line="259" w:lineRule="auto"/>
        <w:ind w:left="-567" w:right="283" w:firstLine="567"/>
        <w:jc w:val="both"/>
        <w:rPr>
          <w:rFonts w:eastAsiaTheme="minorHAnsi" w:cs="Times New Roman"/>
          <w:szCs w:val="24"/>
        </w:rPr>
      </w:pPr>
      <w:r>
        <w:rPr>
          <w:rFonts w:eastAsiaTheme="minorHAnsi" w:cs="Times New Roman"/>
          <w:szCs w:val="24"/>
        </w:rPr>
        <w:t xml:space="preserve">- </w:t>
      </w:r>
      <w:r w:rsidRPr="000778BD">
        <w:rPr>
          <w:rFonts w:eastAsiaTheme="minorHAnsi" w:cs="Times New Roman"/>
          <w:szCs w:val="24"/>
        </w:rPr>
        <w:t>when ineffective anti-corruption controls and procedures are identified, and when it is necessary to improve the set of measures aimed at preventing and countering corruption in the activities of the Exchange;</w:t>
      </w:r>
    </w:p>
    <w:p w14:paraId="77ED6B65" w14:textId="2F2C8089" w:rsidR="00570480" w:rsidRPr="000778BD" w:rsidRDefault="000778BD" w:rsidP="000778BD">
      <w:pPr>
        <w:tabs>
          <w:tab w:val="left" w:pos="8789"/>
        </w:tabs>
        <w:spacing w:after="40" w:line="259" w:lineRule="auto"/>
        <w:ind w:left="-567" w:right="283" w:firstLine="567"/>
        <w:jc w:val="both"/>
        <w:rPr>
          <w:rFonts w:eastAsiaTheme="minorHAnsi" w:cs="Times New Roman"/>
          <w:szCs w:val="24"/>
        </w:rPr>
      </w:pPr>
      <w:r>
        <w:rPr>
          <w:rFonts w:eastAsiaTheme="minorHAnsi" w:cs="Times New Roman"/>
          <w:szCs w:val="24"/>
        </w:rPr>
        <w:t xml:space="preserve">- </w:t>
      </w:r>
      <w:r w:rsidRPr="000778BD">
        <w:rPr>
          <w:rFonts w:eastAsiaTheme="minorHAnsi" w:cs="Times New Roman"/>
          <w:szCs w:val="24"/>
        </w:rPr>
        <w:t>when the legislation of the Republic of Uzbekistan in the field of anti-corruption changes, requiring a review of the existing anti-corruption policies and procedures at the Exchange;</w:t>
      </w:r>
    </w:p>
    <w:p w14:paraId="6A3DE93D" w14:textId="4D49444B" w:rsidR="00570480" w:rsidRPr="000778BD" w:rsidRDefault="000778BD" w:rsidP="000778BD">
      <w:pPr>
        <w:tabs>
          <w:tab w:val="left" w:pos="8789"/>
        </w:tabs>
        <w:spacing w:after="40" w:line="259" w:lineRule="auto"/>
        <w:ind w:left="-567" w:right="283" w:firstLine="567"/>
        <w:jc w:val="both"/>
        <w:rPr>
          <w:rFonts w:eastAsiaTheme="minorHAnsi" w:cs="Times New Roman"/>
          <w:szCs w:val="24"/>
        </w:rPr>
      </w:pPr>
      <w:r>
        <w:rPr>
          <w:rFonts w:eastAsiaTheme="minorHAnsi" w:cs="Times New Roman"/>
          <w:szCs w:val="24"/>
        </w:rPr>
        <w:t xml:space="preserve">- </w:t>
      </w:r>
      <w:r w:rsidRPr="000778BD">
        <w:rPr>
          <w:rFonts w:eastAsiaTheme="minorHAnsi" w:cs="Times New Roman"/>
          <w:szCs w:val="24"/>
        </w:rPr>
        <w:t>when the organizational structure of the Exchange and/or the job duties of employees and the specific features of employees’ performance of their tasks and functions are changed;</w:t>
      </w:r>
    </w:p>
    <w:p w14:paraId="6429CA8F" w14:textId="0A33C2CD" w:rsidR="00570480" w:rsidRPr="000778BD" w:rsidRDefault="000778BD" w:rsidP="000778BD">
      <w:pPr>
        <w:tabs>
          <w:tab w:val="left" w:pos="8789"/>
        </w:tabs>
        <w:spacing w:after="40" w:line="259" w:lineRule="auto"/>
        <w:ind w:left="-567" w:right="283" w:firstLine="567"/>
        <w:jc w:val="both"/>
        <w:rPr>
          <w:rFonts w:eastAsiaTheme="minorHAnsi" w:cs="Times New Roman"/>
          <w:szCs w:val="24"/>
        </w:rPr>
      </w:pPr>
      <w:r>
        <w:rPr>
          <w:rFonts w:eastAsiaTheme="minorHAnsi" w:cs="Times New Roman"/>
          <w:szCs w:val="24"/>
        </w:rPr>
        <w:t xml:space="preserve">- </w:t>
      </w:r>
      <w:r w:rsidRPr="000778BD">
        <w:rPr>
          <w:rFonts w:eastAsiaTheme="minorHAnsi" w:cs="Times New Roman"/>
          <w:szCs w:val="24"/>
        </w:rPr>
        <w:t>when amendments are introduced to the internal documents of the Exchange that significantly affect the performance of functions or procedures.</w:t>
      </w:r>
    </w:p>
    <w:p w14:paraId="324CC464" w14:textId="77777777" w:rsidR="00570480" w:rsidRDefault="00000000" w:rsidP="000778BD">
      <w:pPr>
        <w:tabs>
          <w:tab w:val="left" w:pos="8789"/>
        </w:tabs>
        <w:spacing w:after="40" w:line="259" w:lineRule="auto"/>
        <w:ind w:left="-567" w:right="283" w:firstLine="567"/>
        <w:jc w:val="both"/>
        <w:rPr>
          <w:rFonts w:eastAsiaTheme="minorHAnsi" w:cs="Times New Roman"/>
          <w:szCs w:val="24"/>
        </w:rPr>
      </w:pPr>
      <w:r w:rsidRPr="004C51D0">
        <w:rPr>
          <w:rFonts w:eastAsiaTheme="minorHAnsi" w:cs="Times New Roman"/>
          <w:szCs w:val="24"/>
        </w:rPr>
        <w:t>2.3. The occurrence of other conditions that may affect the level of corruption risk at the Exchange.</w:t>
      </w:r>
    </w:p>
    <w:p w14:paraId="61DD65A9" w14:textId="77777777" w:rsidR="000778BD" w:rsidRPr="000778BD" w:rsidRDefault="000778BD" w:rsidP="000778BD">
      <w:pPr>
        <w:tabs>
          <w:tab w:val="left" w:pos="8789"/>
        </w:tabs>
        <w:spacing w:after="40" w:line="259" w:lineRule="auto"/>
        <w:ind w:left="-567" w:right="283" w:firstLine="567"/>
        <w:jc w:val="both"/>
        <w:rPr>
          <w:rFonts w:eastAsiaTheme="minorHAnsi" w:cs="Times New Roman"/>
          <w:szCs w:val="24"/>
        </w:rPr>
      </w:pPr>
    </w:p>
    <w:p w14:paraId="4616EE25" w14:textId="659C0B95" w:rsidR="00570480" w:rsidRDefault="00000000">
      <w:pPr>
        <w:spacing w:before="160" w:after="120"/>
        <w:jc w:val="center"/>
      </w:pPr>
      <w:r>
        <w:rPr>
          <w:b/>
        </w:rPr>
        <w:lastRenderedPageBreak/>
        <w:t xml:space="preserve">III. Terms and </w:t>
      </w:r>
      <w:r w:rsidR="000778BD">
        <w:rPr>
          <w:b/>
        </w:rPr>
        <w:t>d</w:t>
      </w:r>
      <w:r>
        <w:rPr>
          <w:b/>
        </w:rPr>
        <w:t>efinitions.</w:t>
      </w:r>
    </w:p>
    <w:p w14:paraId="78BAD5A8" w14:textId="77777777" w:rsidR="00570480" w:rsidRPr="004C51D0" w:rsidRDefault="00000000" w:rsidP="000778BD">
      <w:pPr>
        <w:tabs>
          <w:tab w:val="left" w:pos="8789"/>
        </w:tabs>
        <w:spacing w:after="40" w:line="259" w:lineRule="auto"/>
        <w:ind w:left="-567" w:right="283" w:firstLine="567"/>
        <w:jc w:val="both"/>
        <w:rPr>
          <w:rFonts w:eastAsiaTheme="minorHAnsi" w:cs="Times New Roman"/>
          <w:szCs w:val="24"/>
        </w:rPr>
      </w:pPr>
      <w:r w:rsidRPr="004C51D0">
        <w:rPr>
          <w:rFonts w:eastAsiaTheme="minorHAnsi" w:cs="Times New Roman"/>
          <w:szCs w:val="24"/>
        </w:rPr>
        <w:t>3.1. The following terms and definitions are used in this Regulation:</w:t>
      </w:r>
    </w:p>
    <w:p w14:paraId="32A39487" w14:textId="77777777" w:rsidR="00570480" w:rsidRPr="004C51D0" w:rsidRDefault="00000000" w:rsidP="000778BD">
      <w:pPr>
        <w:tabs>
          <w:tab w:val="left" w:pos="8789"/>
        </w:tabs>
        <w:spacing w:after="40" w:line="259" w:lineRule="auto"/>
        <w:ind w:left="-567" w:right="283" w:firstLine="567"/>
        <w:jc w:val="both"/>
        <w:rPr>
          <w:rFonts w:eastAsiaTheme="minorHAnsi" w:cs="Times New Roman"/>
          <w:szCs w:val="24"/>
        </w:rPr>
      </w:pPr>
      <w:r w:rsidRPr="004C51D0">
        <w:rPr>
          <w:rFonts w:eastAsiaTheme="minorHAnsi" w:cs="Times New Roman"/>
          <w:b/>
          <w:bCs/>
          <w:szCs w:val="24"/>
        </w:rPr>
        <w:t>corruption</w:t>
      </w:r>
      <w:r w:rsidRPr="004C51D0">
        <w:rPr>
          <w:rFonts w:eastAsiaTheme="minorHAnsi" w:cs="Times New Roman"/>
          <w:szCs w:val="24"/>
        </w:rPr>
        <w:t xml:space="preserve"> – the unlawful use by a person of his/her official or service position for the purpose of obtaining material or non-material benefit in his/her personal interests or in the interests of other persons, as well as the unlawful provision of such benefit;</w:t>
      </w:r>
    </w:p>
    <w:p w14:paraId="4885DAAE" w14:textId="77777777" w:rsidR="00570480" w:rsidRPr="004C51D0" w:rsidRDefault="00000000" w:rsidP="000778BD">
      <w:pPr>
        <w:tabs>
          <w:tab w:val="left" w:pos="8789"/>
        </w:tabs>
        <w:spacing w:after="40" w:line="259" w:lineRule="auto"/>
        <w:ind w:left="-567" w:right="283" w:firstLine="567"/>
        <w:jc w:val="both"/>
        <w:rPr>
          <w:rFonts w:eastAsiaTheme="minorHAnsi" w:cs="Times New Roman"/>
          <w:szCs w:val="24"/>
        </w:rPr>
      </w:pPr>
      <w:r w:rsidRPr="004C51D0">
        <w:rPr>
          <w:rFonts w:eastAsiaTheme="minorHAnsi" w:cs="Times New Roman"/>
          <w:b/>
          <w:bCs/>
          <w:szCs w:val="24"/>
        </w:rPr>
        <w:t>corruption offense</w:t>
      </w:r>
      <w:r w:rsidRPr="004C51D0">
        <w:rPr>
          <w:rFonts w:eastAsiaTheme="minorHAnsi" w:cs="Times New Roman"/>
          <w:szCs w:val="24"/>
        </w:rPr>
        <w:t xml:space="preserve"> – an act possessing elements of corruption, for the commission of which liability is provided under the legislation of the Republic of Uzbekistan;</w:t>
      </w:r>
    </w:p>
    <w:p w14:paraId="522324AB" w14:textId="77777777" w:rsidR="00570480" w:rsidRPr="004C51D0" w:rsidRDefault="00000000" w:rsidP="000778BD">
      <w:pPr>
        <w:tabs>
          <w:tab w:val="left" w:pos="8789"/>
        </w:tabs>
        <w:spacing w:after="40" w:line="259" w:lineRule="auto"/>
        <w:ind w:left="-567" w:right="283" w:firstLine="567"/>
        <w:jc w:val="both"/>
        <w:rPr>
          <w:rFonts w:eastAsiaTheme="minorHAnsi" w:cs="Times New Roman"/>
          <w:szCs w:val="24"/>
        </w:rPr>
      </w:pPr>
      <w:r w:rsidRPr="004C51D0">
        <w:rPr>
          <w:rFonts w:eastAsiaTheme="minorHAnsi" w:cs="Times New Roman"/>
          <w:b/>
          <w:bCs/>
          <w:szCs w:val="24"/>
        </w:rPr>
        <w:t>corruption risk assessment</w:t>
      </w:r>
      <w:r w:rsidRPr="004C51D0">
        <w:rPr>
          <w:rFonts w:eastAsiaTheme="minorHAnsi" w:cs="Times New Roman"/>
          <w:szCs w:val="24"/>
        </w:rPr>
        <w:t xml:space="preserve"> – an analysis of the functions performed by the Exchange, determination of their exposure to corruption risks, as well as measures to assess specific and residual corruption risks for the relevant procedures carried out within the framework of such functions;</w:t>
      </w:r>
    </w:p>
    <w:p w14:paraId="29429DB2" w14:textId="77777777" w:rsidR="00570480" w:rsidRPr="004C51D0" w:rsidRDefault="00000000" w:rsidP="000778BD">
      <w:pPr>
        <w:tabs>
          <w:tab w:val="left" w:pos="8789"/>
        </w:tabs>
        <w:spacing w:after="40" w:line="259" w:lineRule="auto"/>
        <w:ind w:left="-567" w:right="283" w:firstLine="567"/>
        <w:jc w:val="both"/>
        <w:rPr>
          <w:rFonts w:eastAsiaTheme="minorHAnsi" w:cs="Times New Roman"/>
          <w:szCs w:val="24"/>
        </w:rPr>
      </w:pPr>
      <w:r w:rsidRPr="004C51D0">
        <w:rPr>
          <w:rFonts w:eastAsiaTheme="minorHAnsi" w:cs="Times New Roman"/>
          <w:b/>
          <w:bCs/>
          <w:szCs w:val="24"/>
        </w:rPr>
        <w:t>Employee</w:t>
      </w:r>
      <w:r w:rsidRPr="004C51D0">
        <w:rPr>
          <w:rFonts w:eastAsiaTheme="minorHAnsi" w:cs="Times New Roman"/>
          <w:szCs w:val="24"/>
        </w:rPr>
        <w:t xml:space="preserve"> – a person performing labor activities on the basis of an employment agreement with the Exchange (regardless of the position held) or providing services on the basis of a civil-law contract for the engagement of a specialist;</w:t>
      </w:r>
    </w:p>
    <w:p w14:paraId="7BA88CE1" w14:textId="77777777" w:rsidR="00570480" w:rsidRPr="004C51D0" w:rsidRDefault="00000000" w:rsidP="000778BD">
      <w:pPr>
        <w:tabs>
          <w:tab w:val="left" w:pos="8789"/>
        </w:tabs>
        <w:spacing w:after="40" w:line="259" w:lineRule="auto"/>
        <w:ind w:left="-567" w:right="283" w:firstLine="567"/>
        <w:jc w:val="both"/>
        <w:rPr>
          <w:rFonts w:eastAsiaTheme="minorHAnsi" w:cs="Times New Roman"/>
          <w:szCs w:val="24"/>
        </w:rPr>
      </w:pPr>
      <w:r w:rsidRPr="004C51D0">
        <w:rPr>
          <w:rFonts w:eastAsiaTheme="minorHAnsi" w:cs="Times New Roman"/>
          <w:b/>
          <w:bCs/>
          <w:szCs w:val="24"/>
        </w:rPr>
        <w:t>corporate conduct and professional ethics</w:t>
      </w:r>
      <w:r w:rsidRPr="004C51D0">
        <w:rPr>
          <w:rFonts w:eastAsiaTheme="minorHAnsi" w:cs="Times New Roman"/>
          <w:szCs w:val="24"/>
        </w:rPr>
        <w:t xml:space="preserve"> – a set of norms mandatory for an Employee of the Exchange, as well as for other areas of the Exchange’s activities, which regulate personal and professional conduct and are aimed at protecting Employees and stakeholders from unfair conduct;</w:t>
      </w:r>
    </w:p>
    <w:p w14:paraId="0C317E11" w14:textId="77777777" w:rsidR="00570480" w:rsidRPr="004C51D0" w:rsidRDefault="00000000" w:rsidP="000778BD">
      <w:pPr>
        <w:tabs>
          <w:tab w:val="left" w:pos="8789"/>
        </w:tabs>
        <w:spacing w:after="40" w:line="259" w:lineRule="auto"/>
        <w:ind w:left="-567" w:right="283" w:firstLine="567"/>
        <w:jc w:val="both"/>
        <w:rPr>
          <w:rFonts w:eastAsiaTheme="minorHAnsi" w:cs="Times New Roman"/>
          <w:szCs w:val="24"/>
        </w:rPr>
      </w:pPr>
      <w:r w:rsidRPr="004C51D0">
        <w:rPr>
          <w:rFonts w:eastAsiaTheme="minorHAnsi" w:cs="Times New Roman"/>
          <w:b/>
          <w:bCs/>
          <w:szCs w:val="24"/>
        </w:rPr>
        <w:t>residual risk</w:t>
      </w:r>
      <w:r w:rsidRPr="004C51D0">
        <w:rPr>
          <w:rFonts w:eastAsiaTheme="minorHAnsi" w:cs="Times New Roman"/>
          <w:szCs w:val="24"/>
        </w:rPr>
        <w:t xml:space="preserve"> – the risk that remains after measures aimed at minimizing the risk of corruption have been taken (i.e. taking into account existing anti-corruption policies and procedures, risk minimization measures and implemented controls);</w:t>
      </w:r>
    </w:p>
    <w:p w14:paraId="61BDFC0F" w14:textId="77777777" w:rsidR="00570480" w:rsidRPr="004C51D0" w:rsidRDefault="00000000" w:rsidP="000778BD">
      <w:pPr>
        <w:tabs>
          <w:tab w:val="left" w:pos="8789"/>
        </w:tabs>
        <w:spacing w:after="40" w:line="259" w:lineRule="auto"/>
        <w:ind w:left="-567" w:right="283" w:firstLine="567"/>
        <w:jc w:val="both"/>
        <w:rPr>
          <w:rFonts w:eastAsiaTheme="minorHAnsi" w:cs="Times New Roman"/>
          <w:szCs w:val="24"/>
        </w:rPr>
      </w:pPr>
      <w:r w:rsidRPr="004C51D0">
        <w:rPr>
          <w:rFonts w:eastAsiaTheme="minorHAnsi" w:cs="Times New Roman"/>
          <w:b/>
          <w:bCs/>
          <w:szCs w:val="24"/>
        </w:rPr>
        <w:t>identification of corruption risks</w:t>
      </w:r>
      <w:r w:rsidRPr="004C51D0">
        <w:rPr>
          <w:rFonts w:eastAsiaTheme="minorHAnsi" w:cs="Times New Roman"/>
          <w:szCs w:val="24"/>
        </w:rPr>
        <w:t xml:space="preserve"> – the determination, for each process of the Exchange, of critical points and possible corruption actions that may be committed by Employees at each critical point;</w:t>
      </w:r>
    </w:p>
    <w:p w14:paraId="507BB9E5" w14:textId="77777777" w:rsidR="00570480" w:rsidRPr="004C51D0" w:rsidRDefault="00000000" w:rsidP="000778BD">
      <w:pPr>
        <w:tabs>
          <w:tab w:val="left" w:pos="8789"/>
        </w:tabs>
        <w:spacing w:after="40" w:line="259" w:lineRule="auto"/>
        <w:ind w:left="-567" w:right="283" w:firstLine="567"/>
        <w:jc w:val="both"/>
        <w:rPr>
          <w:rFonts w:eastAsiaTheme="minorHAnsi" w:cs="Times New Roman"/>
          <w:szCs w:val="24"/>
        </w:rPr>
      </w:pPr>
      <w:r w:rsidRPr="004C51D0">
        <w:rPr>
          <w:rFonts w:eastAsiaTheme="minorHAnsi" w:cs="Times New Roman"/>
          <w:b/>
          <w:bCs/>
          <w:szCs w:val="24"/>
        </w:rPr>
        <w:t>corruption risk map</w:t>
      </w:r>
      <w:r w:rsidRPr="004C51D0">
        <w:rPr>
          <w:rFonts w:eastAsiaTheme="minorHAnsi" w:cs="Times New Roman"/>
          <w:szCs w:val="24"/>
        </w:rPr>
        <w:t xml:space="preserve"> – a document prepared based on the results of the corruption risk assessment at the Exchange and containing a list of Exchange processes, a description of possible corruption schemes related to the relevant processes, positions/powers through which corruption schemes may be implemented, the level of inherent and residual corruption risks, measures for their minimization and the persons responsible for their implementation;</w:t>
      </w:r>
    </w:p>
    <w:p w14:paraId="359755FE" w14:textId="77777777" w:rsidR="00570480" w:rsidRPr="004C51D0" w:rsidRDefault="00000000" w:rsidP="000778BD">
      <w:pPr>
        <w:tabs>
          <w:tab w:val="left" w:pos="8789"/>
        </w:tabs>
        <w:spacing w:after="40" w:line="259" w:lineRule="auto"/>
        <w:ind w:left="-567" w:right="283" w:firstLine="567"/>
        <w:jc w:val="both"/>
        <w:rPr>
          <w:rFonts w:eastAsiaTheme="minorHAnsi" w:cs="Times New Roman"/>
          <w:szCs w:val="24"/>
        </w:rPr>
      </w:pPr>
      <w:r w:rsidRPr="004C51D0">
        <w:rPr>
          <w:rFonts w:eastAsiaTheme="minorHAnsi" w:cs="Times New Roman"/>
          <w:b/>
          <w:bCs/>
          <w:szCs w:val="24"/>
        </w:rPr>
        <w:t>Working Group</w:t>
      </w:r>
      <w:r w:rsidRPr="004C51D0">
        <w:rPr>
          <w:rFonts w:eastAsiaTheme="minorHAnsi" w:cs="Times New Roman"/>
          <w:szCs w:val="24"/>
        </w:rPr>
        <w:t xml:space="preserve"> – a permanent structure consisting of the heads of structural units of the Exchange for identifying, assessing and reducing corruption risks;</w:t>
      </w:r>
    </w:p>
    <w:p w14:paraId="09CAB5E9" w14:textId="77777777" w:rsidR="00570480" w:rsidRPr="004C51D0" w:rsidRDefault="00000000" w:rsidP="000778BD">
      <w:pPr>
        <w:tabs>
          <w:tab w:val="left" w:pos="8789"/>
        </w:tabs>
        <w:spacing w:after="40" w:line="259" w:lineRule="auto"/>
        <w:ind w:left="-567" w:right="283" w:firstLine="567"/>
        <w:jc w:val="both"/>
        <w:rPr>
          <w:rFonts w:eastAsiaTheme="minorHAnsi" w:cs="Times New Roman"/>
          <w:szCs w:val="24"/>
        </w:rPr>
      </w:pPr>
      <w:r w:rsidRPr="004C51D0">
        <w:rPr>
          <w:rFonts w:eastAsiaTheme="minorHAnsi" w:cs="Times New Roman"/>
          <w:b/>
          <w:bCs/>
          <w:szCs w:val="24"/>
        </w:rPr>
        <w:t>image of the organization</w:t>
      </w:r>
      <w:r w:rsidRPr="004C51D0">
        <w:rPr>
          <w:rFonts w:eastAsiaTheme="minorHAnsi" w:cs="Times New Roman"/>
          <w:szCs w:val="24"/>
        </w:rPr>
        <w:t xml:space="preserve"> – the perception of stakeholders, counterparties/clients, business partners and the public regarding the prestige of the organization, the quality of services provided or work performed, recognition, business reputation, reliability, loyalty to partners, information openness and business activity;</w:t>
      </w:r>
    </w:p>
    <w:p w14:paraId="40B16DCE" w14:textId="77777777" w:rsidR="00570480" w:rsidRPr="004C51D0" w:rsidRDefault="00000000" w:rsidP="000778BD">
      <w:pPr>
        <w:tabs>
          <w:tab w:val="left" w:pos="8789"/>
        </w:tabs>
        <w:spacing w:after="40" w:line="259" w:lineRule="auto"/>
        <w:ind w:left="-567" w:right="283" w:firstLine="567"/>
        <w:jc w:val="both"/>
        <w:rPr>
          <w:rFonts w:eastAsiaTheme="minorHAnsi" w:cs="Times New Roman"/>
          <w:szCs w:val="24"/>
        </w:rPr>
      </w:pPr>
      <w:r w:rsidRPr="004C51D0">
        <w:rPr>
          <w:rFonts w:eastAsiaTheme="minorHAnsi" w:cs="Times New Roman"/>
          <w:b/>
          <w:bCs/>
          <w:szCs w:val="24"/>
        </w:rPr>
        <w:t>damage to image</w:t>
      </w:r>
      <w:r w:rsidRPr="004C51D0">
        <w:rPr>
          <w:rFonts w:eastAsiaTheme="minorHAnsi" w:cs="Times New Roman"/>
          <w:szCs w:val="24"/>
        </w:rPr>
        <w:t xml:space="preserve"> – the dissemination of false, unreliable and discrediting information about the activities of the Exchange and its Employees, orally or in writing, including through social networks, resulting in deterioration of public opinion and other negative consequences.</w:t>
      </w:r>
    </w:p>
    <w:p w14:paraId="71CE6095" w14:textId="77777777" w:rsidR="00570480" w:rsidRPr="004C51D0" w:rsidRDefault="00000000" w:rsidP="000778BD">
      <w:pPr>
        <w:tabs>
          <w:tab w:val="left" w:pos="8789"/>
        </w:tabs>
        <w:spacing w:after="40" w:line="259" w:lineRule="auto"/>
        <w:ind w:left="-567" w:right="283" w:firstLine="567"/>
        <w:jc w:val="both"/>
        <w:rPr>
          <w:rFonts w:eastAsiaTheme="minorHAnsi" w:cs="Times New Roman"/>
          <w:szCs w:val="24"/>
        </w:rPr>
      </w:pPr>
      <w:r w:rsidRPr="004C51D0">
        <w:rPr>
          <w:rFonts w:eastAsiaTheme="minorHAnsi" w:cs="Times New Roman"/>
          <w:szCs w:val="24"/>
        </w:rPr>
        <w:t>3.2. Terms used but not defined in this Regulation shall have the meaning in which they are used in other internal documents of the Exchange and the legislation of the Republic of Uzbekistan.</w:t>
      </w:r>
    </w:p>
    <w:p w14:paraId="155C31C9" w14:textId="77777777" w:rsidR="00570480" w:rsidRDefault="00000000">
      <w:pPr>
        <w:spacing w:before="160" w:after="120"/>
        <w:jc w:val="center"/>
      </w:pPr>
      <w:r>
        <w:rPr>
          <w:b/>
        </w:rPr>
        <w:t>IV. Procedure.</w:t>
      </w:r>
    </w:p>
    <w:p w14:paraId="0CEEB707" w14:textId="77777777" w:rsidR="00570480" w:rsidRPr="004C51D0" w:rsidRDefault="00000000" w:rsidP="000778BD">
      <w:pPr>
        <w:spacing w:after="40" w:line="259" w:lineRule="auto"/>
        <w:ind w:left="-567" w:right="283" w:firstLine="567"/>
        <w:jc w:val="both"/>
        <w:rPr>
          <w:rFonts w:eastAsiaTheme="minorHAnsi" w:cs="Times New Roman"/>
          <w:b/>
          <w:bCs/>
          <w:szCs w:val="24"/>
        </w:rPr>
      </w:pPr>
      <w:r w:rsidRPr="004C51D0">
        <w:rPr>
          <w:rFonts w:eastAsiaTheme="minorHAnsi" w:cs="Times New Roman"/>
          <w:b/>
          <w:bCs/>
          <w:szCs w:val="24"/>
        </w:rPr>
        <w:t>4.1. General requirements.</w:t>
      </w:r>
    </w:p>
    <w:p w14:paraId="3CF03433" w14:textId="77777777" w:rsidR="00570480" w:rsidRPr="000778BD" w:rsidRDefault="00000000" w:rsidP="000778BD">
      <w:pPr>
        <w:spacing w:after="40" w:line="259" w:lineRule="auto"/>
        <w:ind w:left="-567" w:right="283" w:firstLine="567"/>
        <w:jc w:val="both"/>
        <w:rPr>
          <w:rFonts w:eastAsiaTheme="minorHAnsi" w:cs="Times New Roman"/>
          <w:szCs w:val="24"/>
        </w:rPr>
      </w:pPr>
      <w:r w:rsidRPr="004C51D0">
        <w:rPr>
          <w:rFonts w:eastAsiaTheme="minorHAnsi" w:cs="Times New Roman"/>
          <w:szCs w:val="24"/>
        </w:rPr>
        <w:t>4.1.1. A preliminary assessment of corruption risks includes a preliminary assessment of the level of exposure of functions to corruption risks and an assessment of the level of corruption risks of individual procedures performed by Employees within the framework of the relevant functions, through</w:t>
      </w:r>
      <w:r w:rsidRPr="000778BD">
        <w:rPr>
          <w:rFonts w:eastAsiaTheme="minorHAnsi" w:cs="Times New Roman"/>
          <w:szCs w:val="24"/>
        </w:rPr>
        <w:t xml:space="preserve"> expert assessments and opinions:</w:t>
      </w:r>
    </w:p>
    <w:p w14:paraId="660F6C41" w14:textId="72564DB0" w:rsidR="00570480" w:rsidRPr="000778BD" w:rsidRDefault="00000000" w:rsidP="000778BD">
      <w:pPr>
        <w:spacing w:after="40" w:line="259" w:lineRule="auto"/>
        <w:ind w:left="-567" w:right="283" w:firstLine="567"/>
        <w:jc w:val="both"/>
        <w:rPr>
          <w:rFonts w:eastAsiaTheme="minorHAnsi" w:cs="Times New Roman"/>
          <w:szCs w:val="24"/>
        </w:rPr>
      </w:pPr>
      <w:r w:rsidRPr="000778BD">
        <w:rPr>
          <w:rFonts w:eastAsiaTheme="minorHAnsi" w:cs="Times New Roman"/>
          <w:szCs w:val="24"/>
        </w:rPr>
        <w:lastRenderedPageBreak/>
        <w:t xml:space="preserve">in the form of the Summary Protocol of Expert Assessment of Positions and Persons with a Risk </w:t>
      </w:r>
      <w:r w:rsidRPr="000778BD">
        <w:rPr>
          <w:rFonts w:eastAsiaTheme="minorHAnsi" w:cs="Times New Roman"/>
          <w:b/>
          <w:bCs/>
          <w:szCs w:val="24"/>
        </w:rPr>
        <w:t>“</w:t>
      </w:r>
      <w:r w:rsidR="000778BD" w:rsidRPr="000778BD">
        <w:rPr>
          <w:rFonts w:eastAsiaTheme="minorHAnsi" w:cs="Times New Roman"/>
          <w:b/>
          <w:bCs/>
          <w:i/>
          <w:iCs/>
          <w:szCs w:val="24"/>
        </w:rPr>
        <w:t>a</w:t>
      </w:r>
      <w:r w:rsidRPr="000778BD">
        <w:rPr>
          <w:rFonts w:eastAsiaTheme="minorHAnsi" w:cs="Times New Roman"/>
          <w:b/>
          <w:bCs/>
          <w:i/>
          <w:iCs/>
          <w:szCs w:val="24"/>
        </w:rPr>
        <w:t xml:space="preserve">bove </w:t>
      </w:r>
      <w:r w:rsidR="000778BD" w:rsidRPr="000778BD">
        <w:rPr>
          <w:rFonts w:eastAsiaTheme="minorHAnsi" w:cs="Times New Roman"/>
          <w:b/>
          <w:bCs/>
          <w:i/>
          <w:iCs/>
          <w:szCs w:val="24"/>
        </w:rPr>
        <w:t>l</w:t>
      </w:r>
      <w:r w:rsidRPr="000778BD">
        <w:rPr>
          <w:rFonts w:eastAsiaTheme="minorHAnsi" w:cs="Times New Roman"/>
          <w:b/>
          <w:bCs/>
          <w:i/>
          <w:iCs/>
          <w:szCs w:val="24"/>
        </w:rPr>
        <w:t>ow</w:t>
      </w:r>
      <w:r w:rsidRPr="000778BD">
        <w:rPr>
          <w:rFonts w:eastAsiaTheme="minorHAnsi" w:cs="Times New Roman"/>
          <w:b/>
          <w:bCs/>
          <w:szCs w:val="24"/>
        </w:rPr>
        <w:t>”</w:t>
      </w:r>
      <w:r w:rsidRPr="000778BD">
        <w:rPr>
          <w:rFonts w:eastAsiaTheme="minorHAnsi" w:cs="Times New Roman"/>
          <w:szCs w:val="24"/>
        </w:rPr>
        <w:t xml:space="preserve"> in accordance with Appendix </w:t>
      </w:r>
      <w:r w:rsidR="00833355" w:rsidRPr="00833355">
        <w:rPr>
          <w:rFonts w:eastAsiaTheme="minorHAnsi" w:cs="Times New Roman"/>
          <w:szCs w:val="24"/>
        </w:rPr>
        <w:t>№</w:t>
      </w:r>
      <w:r w:rsidRPr="000778BD">
        <w:rPr>
          <w:rFonts w:eastAsiaTheme="minorHAnsi" w:cs="Times New Roman"/>
          <w:szCs w:val="24"/>
        </w:rPr>
        <w:t xml:space="preserve"> 1 to the Regulation;</w:t>
      </w:r>
    </w:p>
    <w:p w14:paraId="78B8F0BF" w14:textId="62FDA837" w:rsidR="00570480" w:rsidRPr="000778BD" w:rsidRDefault="00000000" w:rsidP="000778BD">
      <w:pPr>
        <w:spacing w:after="40" w:line="259" w:lineRule="auto"/>
        <w:ind w:left="-567" w:right="283" w:firstLine="567"/>
        <w:jc w:val="both"/>
        <w:rPr>
          <w:rFonts w:eastAsiaTheme="minorHAnsi" w:cs="Times New Roman"/>
          <w:szCs w:val="24"/>
        </w:rPr>
      </w:pPr>
      <w:r w:rsidRPr="000778BD">
        <w:rPr>
          <w:rFonts w:eastAsiaTheme="minorHAnsi" w:cs="Times New Roman"/>
          <w:szCs w:val="24"/>
        </w:rPr>
        <w:t xml:space="preserve">according to the scales of probability and severity of consequences, and the list of structural units and/or Employees having risks </w:t>
      </w:r>
      <w:r w:rsidRPr="000778BD">
        <w:rPr>
          <w:rFonts w:eastAsiaTheme="minorHAnsi" w:cs="Times New Roman"/>
          <w:b/>
          <w:bCs/>
          <w:i/>
          <w:iCs/>
          <w:szCs w:val="24"/>
        </w:rPr>
        <w:t>“above low”</w:t>
      </w:r>
      <w:r w:rsidRPr="000778BD">
        <w:rPr>
          <w:rFonts w:eastAsiaTheme="minorHAnsi" w:cs="Times New Roman"/>
          <w:szCs w:val="24"/>
        </w:rPr>
        <w:t xml:space="preserve"> is determined in accordance with Appendix </w:t>
      </w:r>
      <w:r w:rsidR="00833355" w:rsidRPr="00833355">
        <w:rPr>
          <w:rFonts w:eastAsiaTheme="minorHAnsi" w:cs="Times New Roman"/>
          <w:szCs w:val="24"/>
        </w:rPr>
        <w:t>№</w:t>
      </w:r>
      <w:r w:rsidRPr="000778BD">
        <w:rPr>
          <w:rFonts w:eastAsiaTheme="minorHAnsi" w:cs="Times New Roman"/>
          <w:szCs w:val="24"/>
        </w:rPr>
        <w:t xml:space="preserve"> 2 to the Regulation.</w:t>
      </w:r>
    </w:p>
    <w:p w14:paraId="69F8C83E" w14:textId="6413907A" w:rsidR="00570480" w:rsidRPr="002B2A7B" w:rsidRDefault="00000000" w:rsidP="000778BD">
      <w:pPr>
        <w:spacing w:after="40" w:line="259" w:lineRule="auto"/>
        <w:ind w:left="-567" w:right="283" w:firstLine="567"/>
        <w:jc w:val="both"/>
        <w:rPr>
          <w:rFonts w:eastAsiaTheme="minorHAnsi" w:cs="Times New Roman"/>
          <w:b/>
          <w:bCs/>
          <w:szCs w:val="24"/>
        </w:rPr>
      </w:pPr>
      <w:r w:rsidRPr="002B2A7B">
        <w:rPr>
          <w:rFonts w:eastAsiaTheme="minorHAnsi" w:cs="Times New Roman"/>
          <w:b/>
          <w:bCs/>
          <w:szCs w:val="24"/>
        </w:rPr>
        <w:t xml:space="preserve">4.2. Working </w:t>
      </w:r>
      <w:r w:rsidR="002B2A7B">
        <w:rPr>
          <w:rFonts w:eastAsiaTheme="minorHAnsi" w:cs="Times New Roman"/>
          <w:b/>
          <w:bCs/>
          <w:szCs w:val="24"/>
        </w:rPr>
        <w:t>g</w:t>
      </w:r>
      <w:r w:rsidRPr="002B2A7B">
        <w:rPr>
          <w:rFonts w:eastAsiaTheme="minorHAnsi" w:cs="Times New Roman"/>
          <w:b/>
          <w:bCs/>
          <w:szCs w:val="24"/>
        </w:rPr>
        <w:t xml:space="preserve">roup for the </w:t>
      </w:r>
      <w:r w:rsidR="002B2A7B">
        <w:rPr>
          <w:rFonts w:eastAsiaTheme="minorHAnsi" w:cs="Times New Roman"/>
          <w:b/>
          <w:bCs/>
          <w:szCs w:val="24"/>
        </w:rPr>
        <w:t>a</w:t>
      </w:r>
      <w:r w:rsidRPr="002B2A7B">
        <w:rPr>
          <w:rFonts w:eastAsiaTheme="minorHAnsi" w:cs="Times New Roman"/>
          <w:b/>
          <w:bCs/>
          <w:szCs w:val="24"/>
        </w:rPr>
        <w:t xml:space="preserve">ssessment of </w:t>
      </w:r>
      <w:r w:rsidR="002B2A7B">
        <w:rPr>
          <w:rFonts w:eastAsiaTheme="minorHAnsi" w:cs="Times New Roman"/>
          <w:b/>
          <w:bCs/>
          <w:szCs w:val="24"/>
        </w:rPr>
        <w:t>c</w:t>
      </w:r>
      <w:r w:rsidRPr="002B2A7B">
        <w:rPr>
          <w:rFonts w:eastAsiaTheme="minorHAnsi" w:cs="Times New Roman"/>
          <w:b/>
          <w:bCs/>
          <w:szCs w:val="24"/>
        </w:rPr>
        <w:t xml:space="preserve">orruption </w:t>
      </w:r>
      <w:r w:rsidR="002B2A7B">
        <w:rPr>
          <w:rFonts w:eastAsiaTheme="minorHAnsi" w:cs="Times New Roman"/>
          <w:b/>
          <w:bCs/>
          <w:szCs w:val="24"/>
        </w:rPr>
        <w:t>r</w:t>
      </w:r>
      <w:r w:rsidRPr="002B2A7B">
        <w:rPr>
          <w:rFonts w:eastAsiaTheme="minorHAnsi" w:cs="Times New Roman"/>
          <w:b/>
          <w:bCs/>
          <w:szCs w:val="24"/>
        </w:rPr>
        <w:t>isks.</w:t>
      </w:r>
    </w:p>
    <w:p w14:paraId="0826F248" w14:textId="77777777" w:rsidR="00570480" w:rsidRPr="004C51D0" w:rsidRDefault="00000000" w:rsidP="000778BD">
      <w:pPr>
        <w:spacing w:after="40" w:line="259" w:lineRule="auto"/>
        <w:ind w:left="-567" w:right="283" w:firstLine="567"/>
        <w:jc w:val="both"/>
        <w:rPr>
          <w:rFonts w:eastAsiaTheme="minorHAnsi" w:cs="Times New Roman"/>
          <w:szCs w:val="24"/>
        </w:rPr>
      </w:pPr>
      <w:r w:rsidRPr="004C51D0">
        <w:rPr>
          <w:rFonts w:eastAsiaTheme="minorHAnsi" w:cs="Times New Roman"/>
          <w:szCs w:val="24"/>
        </w:rPr>
        <w:t>4.2.1. The assessment of corruption risks is carried out by an Employee of the authorized unit (Compliance Manager), with the involvement of the heads of structural units of the Exchange (hereinafter referred to as the “Working Group”), the composition of which, including its Chairperson, is approved by the Head of the Executive Body and/or his/her deputy.</w:t>
      </w:r>
    </w:p>
    <w:p w14:paraId="59295C04" w14:textId="77777777" w:rsidR="00570480" w:rsidRPr="004C51D0" w:rsidRDefault="00000000" w:rsidP="000778BD">
      <w:pPr>
        <w:spacing w:after="40" w:line="259" w:lineRule="auto"/>
        <w:ind w:left="-567" w:right="283" w:firstLine="567"/>
        <w:jc w:val="both"/>
        <w:rPr>
          <w:rFonts w:eastAsiaTheme="minorHAnsi" w:cs="Times New Roman"/>
          <w:szCs w:val="24"/>
        </w:rPr>
      </w:pPr>
      <w:r w:rsidRPr="004C51D0">
        <w:rPr>
          <w:rFonts w:eastAsiaTheme="minorHAnsi" w:cs="Times New Roman"/>
          <w:szCs w:val="24"/>
        </w:rPr>
        <w:t>4.2.2. Meetings of the Working Group are held at least once a year, as well as when necessary. The purpose of such meetings of the Working Group is to identify the need to conduct an assessment of corruption risks, introduce changes to the corruption risk map, assess the effectiveness of measures implemented to minimize identified corruption risks, and consider other issues within the competence of the Working Group. The results of the Working Group’s work are submitted to the Head of the Executive Body and/or his/her deputy.</w:t>
      </w:r>
    </w:p>
    <w:p w14:paraId="22BBF792" w14:textId="77777777" w:rsidR="00570480" w:rsidRPr="004C51D0" w:rsidRDefault="00000000" w:rsidP="000778BD">
      <w:pPr>
        <w:spacing w:after="40" w:line="259" w:lineRule="auto"/>
        <w:ind w:left="-567" w:right="283" w:firstLine="567"/>
        <w:jc w:val="both"/>
        <w:rPr>
          <w:rFonts w:eastAsiaTheme="minorHAnsi" w:cs="Times New Roman"/>
          <w:szCs w:val="24"/>
        </w:rPr>
      </w:pPr>
      <w:r w:rsidRPr="004C51D0">
        <w:rPr>
          <w:rFonts w:eastAsiaTheme="minorHAnsi" w:cs="Times New Roman"/>
          <w:szCs w:val="24"/>
        </w:rPr>
        <w:t>3.2.3. The Working Group performs the following functions:</w:t>
      </w:r>
    </w:p>
    <w:p w14:paraId="20156805" w14:textId="77777777" w:rsidR="00570480" w:rsidRPr="004C51D0" w:rsidRDefault="00000000" w:rsidP="000778BD">
      <w:pPr>
        <w:spacing w:after="40" w:line="259" w:lineRule="auto"/>
        <w:ind w:left="-567" w:right="283" w:firstLine="567"/>
        <w:jc w:val="both"/>
        <w:rPr>
          <w:rFonts w:eastAsiaTheme="minorHAnsi" w:cs="Times New Roman"/>
          <w:szCs w:val="24"/>
        </w:rPr>
      </w:pPr>
      <w:r w:rsidRPr="004C51D0">
        <w:rPr>
          <w:rFonts w:eastAsiaTheme="minorHAnsi" w:cs="Times New Roman"/>
          <w:szCs w:val="24"/>
        </w:rPr>
        <w:t>development of and participation in the implementation of the corruption risk map and measures for their minimization;</w:t>
      </w:r>
    </w:p>
    <w:p w14:paraId="70444255" w14:textId="77777777" w:rsidR="00570480" w:rsidRPr="004C51D0" w:rsidRDefault="00000000" w:rsidP="000778BD">
      <w:pPr>
        <w:spacing w:after="40" w:line="259" w:lineRule="auto"/>
        <w:ind w:left="-567" w:right="283" w:firstLine="567"/>
        <w:jc w:val="both"/>
        <w:rPr>
          <w:rFonts w:eastAsiaTheme="minorHAnsi" w:cs="Times New Roman"/>
          <w:szCs w:val="24"/>
        </w:rPr>
      </w:pPr>
      <w:r w:rsidRPr="004C51D0">
        <w:rPr>
          <w:rFonts w:eastAsiaTheme="minorHAnsi" w:cs="Times New Roman"/>
          <w:szCs w:val="24"/>
        </w:rPr>
        <w:t>submission of proposals aimed at implementing measures to eliminate the causes and conditions contributing to the commission of corruption offenses;</w:t>
      </w:r>
    </w:p>
    <w:p w14:paraId="05B1B1C4" w14:textId="77777777" w:rsidR="00570480" w:rsidRPr="004C51D0" w:rsidRDefault="00000000" w:rsidP="000778BD">
      <w:pPr>
        <w:spacing w:after="40" w:line="259" w:lineRule="auto"/>
        <w:ind w:left="-567" w:right="283" w:firstLine="567"/>
        <w:jc w:val="both"/>
        <w:rPr>
          <w:rFonts w:eastAsiaTheme="minorHAnsi" w:cs="Times New Roman"/>
          <w:szCs w:val="24"/>
        </w:rPr>
      </w:pPr>
      <w:r w:rsidRPr="004C51D0">
        <w:rPr>
          <w:rFonts w:eastAsiaTheme="minorHAnsi" w:cs="Times New Roman"/>
          <w:szCs w:val="24"/>
        </w:rPr>
        <w:t>development of recommendations for practical use in preventing and prophylaxis of corruption offenses;</w:t>
      </w:r>
    </w:p>
    <w:p w14:paraId="0CFD5B7C" w14:textId="77777777" w:rsidR="00570480" w:rsidRPr="004C51D0" w:rsidRDefault="00000000" w:rsidP="000778BD">
      <w:pPr>
        <w:spacing w:after="40" w:line="259" w:lineRule="auto"/>
        <w:ind w:left="-567" w:right="283" w:firstLine="567"/>
        <w:jc w:val="both"/>
        <w:rPr>
          <w:rFonts w:eastAsiaTheme="minorHAnsi" w:cs="Times New Roman"/>
          <w:szCs w:val="24"/>
        </w:rPr>
      </w:pPr>
      <w:r w:rsidRPr="004C51D0">
        <w:rPr>
          <w:rFonts w:eastAsiaTheme="minorHAnsi" w:cs="Times New Roman"/>
          <w:szCs w:val="24"/>
        </w:rPr>
        <w:t>submission of proposals for improving activities in the field of anti-corruption, as well as participation in the preparation of draft local acts on issues falling within the competence of the Working Group;</w:t>
      </w:r>
    </w:p>
    <w:p w14:paraId="6EAB6F1F" w14:textId="77777777" w:rsidR="00570480" w:rsidRPr="004C51D0" w:rsidRDefault="00000000" w:rsidP="000778BD">
      <w:pPr>
        <w:spacing w:after="40" w:line="259" w:lineRule="auto"/>
        <w:ind w:left="-567" w:right="283" w:firstLine="567"/>
        <w:jc w:val="both"/>
        <w:rPr>
          <w:rFonts w:eastAsiaTheme="minorHAnsi" w:cs="Times New Roman"/>
          <w:szCs w:val="24"/>
        </w:rPr>
      </w:pPr>
      <w:r w:rsidRPr="004C51D0">
        <w:rPr>
          <w:rFonts w:eastAsiaTheme="minorHAnsi" w:cs="Times New Roman"/>
          <w:szCs w:val="24"/>
        </w:rPr>
        <w:t>participation in the development of forms and methods for carrying out anti-corruption activities and monitoring their implementation.</w:t>
      </w:r>
    </w:p>
    <w:p w14:paraId="41D2F89D" w14:textId="77777777" w:rsidR="00570480" w:rsidRPr="004C51D0" w:rsidRDefault="00000000" w:rsidP="000778BD">
      <w:pPr>
        <w:spacing w:after="40" w:line="259" w:lineRule="auto"/>
        <w:ind w:left="-567" w:right="283" w:firstLine="567"/>
        <w:jc w:val="both"/>
        <w:rPr>
          <w:rFonts w:eastAsiaTheme="minorHAnsi" w:cs="Times New Roman"/>
          <w:szCs w:val="24"/>
        </w:rPr>
      </w:pPr>
      <w:r w:rsidRPr="004C51D0">
        <w:rPr>
          <w:rFonts w:eastAsiaTheme="minorHAnsi" w:cs="Times New Roman"/>
          <w:szCs w:val="24"/>
        </w:rPr>
        <w:t>3.2.4. Based on the results of the corruption risk assessment, the Group of Experts shall prepare a final protocol containing:</w:t>
      </w:r>
    </w:p>
    <w:p w14:paraId="55987EB8" w14:textId="69B58767" w:rsidR="00570480" w:rsidRPr="000778BD" w:rsidRDefault="000778BD" w:rsidP="000778BD">
      <w:pPr>
        <w:spacing w:after="40" w:line="259" w:lineRule="auto"/>
        <w:ind w:left="-567" w:right="283" w:firstLine="567"/>
        <w:jc w:val="both"/>
        <w:rPr>
          <w:rFonts w:eastAsiaTheme="minorHAnsi" w:cs="Times New Roman"/>
          <w:szCs w:val="24"/>
        </w:rPr>
      </w:pPr>
      <w:r>
        <w:rPr>
          <w:rFonts w:eastAsiaTheme="minorHAnsi" w:cs="Times New Roman"/>
          <w:szCs w:val="24"/>
        </w:rPr>
        <w:t xml:space="preserve">1) </w:t>
      </w:r>
      <w:r w:rsidRPr="000778BD">
        <w:rPr>
          <w:rFonts w:eastAsiaTheme="minorHAnsi" w:cs="Times New Roman"/>
          <w:szCs w:val="24"/>
        </w:rPr>
        <w:t>a list of risks “above low”;</w:t>
      </w:r>
    </w:p>
    <w:p w14:paraId="564230F5" w14:textId="570AA42B" w:rsidR="00570480" w:rsidRPr="000778BD" w:rsidRDefault="000778BD" w:rsidP="000778BD">
      <w:pPr>
        <w:spacing w:after="40" w:line="259" w:lineRule="auto"/>
        <w:ind w:left="-567" w:right="283" w:firstLine="567"/>
        <w:jc w:val="both"/>
        <w:rPr>
          <w:rFonts w:eastAsiaTheme="minorHAnsi" w:cs="Times New Roman"/>
          <w:szCs w:val="24"/>
        </w:rPr>
      </w:pPr>
      <w:r>
        <w:rPr>
          <w:rFonts w:eastAsiaTheme="minorHAnsi" w:cs="Times New Roman"/>
          <w:szCs w:val="24"/>
        </w:rPr>
        <w:t xml:space="preserve">2) </w:t>
      </w:r>
      <w:r w:rsidRPr="000778BD">
        <w:rPr>
          <w:rFonts w:eastAsiaTheme="minorHAnsi" w:cs="Times New Roman"/>
          <w:szCs w:val="24"/>
        </w:rPr>
        <w:t>a list of positions and persons for whom risks “above low” have been identified;</w:t>
      </w:r>
    </w:p>
    <w:p w14:paraId="445D1838" w14:textId="7EE844D4" w:rsidR="00570480" w:rsidRPr="000778BD" w:rsidRDefault="000778BD" w:rsidP="000778BD">
      <w:pPr>
        <w:spacing w:after="40" w:line="259" w:lineRule="auto"/>
        <w:ind w:left="-567" w:right="283" w:firstLine="567"/>
        <w:jc w:val="both"/>
        <w:rPr>
          <w:rFonts w:eastAsiaTheme="minorHAnsi" w:cs="Times New Roman"/>
          <w:szCs w:val="24"/>
        </w:rPr>
      </w:pPr>
      <w:r>
        <w:rPr>
          <w:rFonts w:eastAsiaTheme="minorHAnsi" w:cs="Times New Roman"/>
          <w:szCs w:val="24"/>
        </w:rPr>
        <w:t xml:space="preserve">3) </w:t>
      </w:r>
      <w:r w:rsidRPr="000778BD">
        <w:rPr>
          <w:rFonts w:eastAsiaTheme="minorHAnsi" w:cs="Times New Roman"/>
          <w:szCs w:val="24"/>
        </w:rPr>
        <w:t>additional reasonably applicable and necessary risk management measures.</w:t>
      </w:r>
    </w:p>
    <w:p w14:paraId="427707CB" w14:textId="29836B1B" w:rsidR="00570480" w:rsidRDefault="00000000">
      <w:pPr>
        <w:spacing w:after="0" w:line="252" w:lineRule="auto"/>
        <w:ind w:firstLine="567"/>
      </w:pPr>
      <w:r>
        <w:t xml:space="preserve">3.2.5. One possible method for assessing the significance of corruption risk is the use of a </w:t>
      </w:r>
      <w:r w:rsidR="001E5982">
        <w:t>r</w:t>
      </w:r>
      <w:r>
        <w:t xml:space="preserve">isk </w:t>
      </w:r>
      <w:r w:rsidR="001E5982">
        <w:t>s</w:t>
      </w:r>
      <w:r>
        <w:t xml:space="preserve">ignificance </w:t>
      </w:r>
      <w:r w:rsidR="001E5982">
        <w:t>a</w:t>
      </w:r>
      <w:r>
        <w:t xml:space="preserve">ssessment </w:t>
      </w:r>
      <w:r w:rsidRPr="001E5982">
        <w:rPr>
          <w:b/>
          <w:bCs/>
          <w:i/>
          <w:iCs/>
        </w:rPr>
        <w:t>Matrix</w:t>
      </w:r>
      <w:r>
        <w:t>. At the same time, all risks are divided by their significance into critical risks, significant risks, risks requiring management and insignificant risks. A basic version of such a matrix is presented in Table</w:t>
      </w:r>
      <w:r w:rsidR="001E5982">
        <w:t xml:space="preserve"> </w:t>
      </w:r>
      <w:r w:rsidR="001E5982" w:rsidRPr="001E5982">
        <w:t>№</w:t>
      </w:r>
      <w:r>
        <w:t>1 to the Regulation.</w:t>
      </w:r>
    </w:p>
    <w:p w14:paraId="6B72BC5A" w14:textId="77777777" w:rsidR="00570480" w:rsidRDefault="00000000">
      <w:pPr>
        <w:spacing w:after="0" w:line="252" w:lineRule="auto"/>
        <w:ind w:firstLine="567"/>
      </w:pPr>
      <w:r>
        <w:t>3.2.6. The heads of structural units participating in the corruption risk assessment process, including Employees whose duties include providing information and documents for the assessment of corruption risks, bear personal responsibility for compliance with the requirements established by this Regulation.</w:t>
      </w:r>
    </w:p>
    <w:p w14:paraId="2BB0BF15" w14:textId="3E6DDA03" w:rsidR="00570480" w:rsidRPr="004C51D0" w:rsidRDefault="00000000" w:rsidP="001E5982">
      <w:pPr>
        <w:spacing w:after="40" w:line="259" w:lineRule="auto"/>
        <w:ind w:left="-567" w:right="283" w:firstLine="567"/>
        <w:jc w:val="both"/>
        <w:rPr>
          <w:rFonts w:eastAsiaTheme="minorHAnsi" w:cs="Times New Roman"/>
          <w:b/>
          <w:bCs/>
          <w:szCs w:val="24"/>
        </w:rPr>
      </w:pPr>
      <w:r w:rsidRPr="004C51D0">
        <w:rPr>
          <w:rFonts w:eastAsiaTheme="minorHAnsi" w:cs="Times New Roman"/>
          <w:b/>
          <w:bCs/>
          <w:szCs w:val="24"/>
        </w:rPr>
        <w:t xml:space="preserve">3.3. Management of </w:t>
      </w:r>
      <w:r w:rsidR="004C51D0">
        <w:rPr>
          <w:rFonts w:eastAsiaTheme="minorHAnsi" w:cs="Times New Roman"/>
          <w:b/>
          <w:bCs/>
          <w:szCs w:val="24"/>
        </w:rPr>
        <w:t>c</w:t>
      </w:r>
      <w:r w:rsidRPr="004C51D0">
        <w:rPr>
          <w:rFonts w:eastAsiaTheme="minorHAnsi" w:cs="Times New Roman"/>
          <w:b/>
          <w:bCs/>
          <w:szCs w:val="24"/>
        </w:rPr>
        <w:t xml:space="preserve">orruption </w:t>
      </w:r>
      <w:r w:rsidR="004C51D0">
        <w:rPr>
          <w:rFonts w:eastAsiaTheme="minorHAnsi" w:cs="Times New Roman"/>
          <w:b/>
          <w:bCs/>
          <w:szCs w:val="24"/>
        </w:rPr>
        <w:t>r</w:t>
      </w:r>
      <w:r w:rsidRPr="004C51D0">
        <w:rPr>
          <w:rFonts w:eastAsiaTheme="minorHAnsi" w:cs="Times New Roman"/>
          <w:b/>
          <w:bCs/>
          <w:szCs w:val="24"/>
        </w:rPr>
        <w:t>isks.</w:t>
      </w:r>
    </w:p>
    <w:p w14:paraId="369F622B" w14:textId="77777777" w:rsidR="00570480" w:rsidRPr="004C51D0" w:rsidRDefault="00000000" w:rsidP="001E5982">
      <w:pPr>
        <w:spacing w:after="40" w:line="259" w:lineRule="auto"/>
        <w:ind w:left="-567" w:right="283" w:firstLine="567"/>
        <w:jc w:val="both"/>
        <w:rPr>
          <w:rFonts w:eastAsiaTheme="minorHAnsi" w:cs="Times New Roman"/>
          <w:szCs w:val="24"/>
        </w:rPr>
      </w:pPr>
      <w:r w:rsidRPr="004C51D0">
        <w:rPr>
          <w:rFonts w:eastAsiaTheme="minorHAnsi" w:cs="Times New Roman"/>
          <w:szCs w:val="24"/>
        </w:rPr>
        <w:t>3.3.1. Methodological assessment is used for the purpose of identifying and assessing corruption risks in the following areas:</w:t>
      </w:r>
    </w:p>
    <w:p w14:paraId="1B85E7C9" w14:textId="5090E8AD" w:rsidR="00570480" w:rsidRPr="001E5982" w:rsidRDefault="001E5982" w:rsidP="001E5982">
      <w:pPr>
        <w:spacing w:after="40" w:line="259" w:lineRule="auto"/>
        <w:ind w:left="-567" w:right="283" w:firstLine="567"/>
        <w:jc w:val="both"/>
        <w:rPr>
          <w:rFonts w:eastAsiaTheme="minorHAnsi" w:cs="Times New Roman"/>
          <w:szCs w:val="24"/>
        </w:rPr>
      </w:pPr>
      <w:r>
        <w:rPr>
          <w:rFonts w:eastAsiaTheme="minorHAnsi" w:cs="Times New Roman"/>
          <w:szCs w:val="24"/>
        </w:rPr>
        <w:t xml:space="preserve">1) </w:t>
      </w:r>
      <w:r w:rsidRPr="001E5982">
        <w:rPr>
          <w:rFonts w:eastAsiaTheme="minorHAnsi" w:cs="Times New Roman"/>
          <w:szCs w:val="24"/>
        </w:rPr>
        <w:t>identification of methods that personnel may use for personal enrichment;</w:t>
      </w:r>
    </w:p>
    <w:p w14:paraId="7B19CD87" w14:textId="2C0FDB1B" w:rsidR="00570480" w:rsidRPr="001E5982" w:rsidRDefault="001E5982" w:rsidP="001E5982">
      <w:pPr>
        <w:spacing w:after="40" w:line="259" w:lineRule="auto"/>
        <w:ind w:left="-567" w:right="283" w:firstLine="567"/>
        <w:jc w:val="both"/>
        <w:rPr>
          <w:rFonts w:eastAsiaTheme="minorHAnsi" w:cs="Times New Roman"/>
          <w:szCs w:val="24"/>
        </w:rPr>
      </w:pPr>
      <w:r>
        <w:rPr>
          <w:rFonts w:eastAsiaTheme="minorHAnsi" w:cs="Times New Roman"/>
          <w:szCs w:val="24"/>
        </w:rPr>
        <w:t xml:space="preserve">2) </w:t>
      </w:r>
      <w:r w:rsidRPr="001E5982">
        <w:rPr>
          <w:rFonts w:eastAsiaTheme="minorHAnsi" w:cs="Times New Roman"/>
          <w:szCs w:val="24"/>
        </w:rPr>
        <w:t>analysis of hospitality expenses;</w:t>
      </w:r>
    </w:p>
    <w:p w14:paraId="27EEA722" w14:textId="24745576" w:rsidR="00570480" w:rsidRPr="001E5982" w:rsidRDefault="001E5982" w:rsidP="001E5982">
      <w:pPr>
        <w:spacing w:after="40" w:line="259" w:lineRule="auto"/>
        <w:ind w:left="-567" w:right="283" w:firstLine="567"/>
        <w:jc w:val="both"/>
        <w:rPr>
          <w:rFonts w:eastAsiaTheme="minorHAnsi" w:cs="Times New Roman"/>
          <w:szCs w:val="24"/>
        </w:rPr>
      </w:pPr>
      <w:r>
        <w:rPr>
          <w:rFonts w:eastAsiaTheme="minorHAnsi" w:cs="Times New Roman"/>
          <w:szCs w:val="24"/>
        </w:rPr>
        <w:lastRenderedPageBreak/>
        <w:t xml:space="preserve">3) </w:t>
      </w:r>
      <w:r w:rsidRPr="001E5982">
        <w:rPr>
          <w:rFonts w:eastAsiaTheme="minorHAnsi" w:cs="Times New Roman"/>
          <w:szCs w:val="24"/>
        </w:rPr>
        <w:t>analysis of political and charitable donations, sponsorship, advertising expenses and public procurement;</w:t>
      </w:r>
    </w:p>
    <w:p w14:paraId="098E9D32" w14:textId="68033365" w:rsidR="00570480" w:rsidRPr="001E5982" w:rsidRDefault="001E5982" w:rsidP="001E5982">
      <w:pPr>
        <w:spacing w:after="40" w:line="259" w:lineRule="auto"/>
        <w:ind w:left="-567" w:right="283" w:firstLine="567"/>
        <w:jc w:val="both"/>
        <w:rPr>
          <w:rFonts w:eastAsiaTheme="minorHAnsi" w:cs="Times New Roman"/>
          <w:szCs w:val="24"/>
        </w:rPr>
      </w:pPr>
      <w:r>
        <w:rPr>
          <w:rFonts w:eastAsiaTheme="minorHAnsi" w:cs="Times New Roman"/>
          <w:szCs w:val="24"/>
        </w:rPr>
        <w:t xml:space="preserve">4) </w:t>
      </w:r>
      <w:r w:rsidRPr="001E5982">
        <w:rPr>
          <w:rFonts w:eastAsiaTheme="minorHAnsi" w:cs="Times New Roman"/>
          <w:szCs w:val="24"/>
        </w:rPr>
        <w:t>analysis of travel expenses of a client’s representative or a public official;</w:t>
      </w:r>
    </w:p>
    <w:p w14:paraId="3F313279" w14:textId="302886B8" w:rsidR="00570480" w:rsidRPr="001E5982" w:rsidRDefault="001E5982" w:rsidP="001E5982">
      <w:pPr>
        <w:spacing w:after="40" w:line="259" w:lineRule="auto"/>
        <w:ind w:left="-567" w:right="283" w:firstLine="567"/>
        <w:jc w:val="both"/>
        <w:rPr>
          <w:rFonts w:eastAsiaTheme="minorHAnsi" w:cs="Times New Roman"/>
          <w:szCs w:val="24"/>
        </w:rPr>
      </w:pPr>
      <w:r>
        <w:rPr>
          <w:rFonts w:eastAsiaTheme="minorHAnsi" w:cs="Times New Roman"/>
          <w:szCs w:val="24"/>
        </w:rPr>
        <w:t xml:space="preserve">5) </w:t>
      </w:r>
      <w:r w:rsidRPr="001E5982">
        <w:rPr>
          <w:rFonts w:eastAsiaTheme="minorHAnsi" w:cs="Times New Roman"/>
          <w:szCs w:val="24"/>
        </w:rPr>
        <w:t>response to information on alleged or actual cases of corruption.</w:t>
      </w:r>
    </w:p>
    <w:p w14:paraId="5D6A2558" w14:textId="14884853" w:rsidR="00570480" w:rsidRPr="001E5982" w:rsidRDefault="00000000" w:rsidP="001E5982">
      <w:pPr>
        <w:spacing w:after="40" w:line="259" w:lineRule="auto"/>
        <w:ind w:left="-567" w:right="283" w:firstLine="567"/>
        <w:jc w:val="both"/>
        <w:rPr>
          <w:rFonts w:eastAsiaTheme="minorHAnsi" w:cs="Times New Roman"/>
          <w:szCs w:val="24"/>
        </w:rPr>
      </w:pPr>
      <w:r w:rsidRPr="001E5982">
        <w:rPr>
          <w:rFonts w:eastAsiaTheme="minorHAnsi" w:cs="Times New Roman"/>
          <w:szCs w:val="24"/>
        </w:rPr>
        <w:t>Corruption risk assessments shall be conducted on the basis of information obtained from:</w:t>
      </w:r>
    </w:p>
    <w:p w14:paraId="4C27958F" w14:textId="7FD39F9E" w:rsidR="00570480" w:rsidRPr="001E5982" w:rsidRDefault="001E5982" w:rsidP="001E5982">
      <w:pPr>
        <w:spacing w:after="40" w:line="259" w:lineRule="auto"/>
        <w:ind w:left="-567" w:right="283" w:firstLine="567"/>
        <w:jc w:val="both"/>
        <w:rPr>
          <w:rFonts w:eastAsiaTheme="minorHAnsi" w:cs="Times New Roman"/>
          <w:szCs w:val="24"/>
        </w:rPr>
      </w:pPr>
      <w:r w:rsidRPr="001E5982">
        <w:rPr>
          <w:rFonts w:eastAsiaTheme="minorHAnsi" w:cs="Times New Roman"/>
          <w:szCs w:val="24"/>
        </w:rPr>
        <w:t>-</w:t>
      </w:r>
      <w:r>
        <w:rPr>
          <w:rFonts w:eastAsiaTheme="minorHAnsi" w:cs="Times New Roman"/>
          <w:szCs w:val="24"/>
        </w:rPr>
        <w:t xml:space="preserve"> </w:t>
      </w:r>
      <w:r w:rsidRPr="001E5982">
        <w:rPr>
          <w:rFonts w:eastAsiaTheme="minorHAnsi" w:cs="Times New Roman"/>
          <w:szCs w:val="24"/>
        </w:rPr>
        <w:t>internal sources (internal audit materials, minutes of ethics meetings, monitoring reports on the results of anti-corruption measures, etc.);</w:t>
      </w:r>
    </w:p>
    <w:p w14:paraId="25A15AB4" w14:textId="225F44E6" w:rsidR="00570480" w:rsidRPr="00B46DE2" w:rsidRDefault="001E5982" w:rsidP="001E5982">
      <w:pPr>
        <w:spacing w:after="40" w:line="259" w:lineRule="auto"/>
        <w:ind w:left="-567" w:right="283" w:firstLine="567"/>
        <w:jc w:val="both"/>
        <w:rPr>
          <w:rFonts w:eastAsiaTheme="minorHAnsi" w:cs="Times New Roman"/>
          <w:szCs w:val="24"/>
        </w:rPr>
      </w:pPr>
      <w:r>
        <w:rPr>
          <w:rFonts w:eastAsiaTheme="minorHAnsi" w:cs="Times New Roman"/>
          <w:szCs w:val="24"/>
        </w:rPr>
        <w:t xml:space="preserve">- </w:t>
      </w:r>
      <w:r w:rsidRPr="001E5982">
        <w:rPr>
          <w:rFonts w:eastAsiaTheme="minorHAnsi" w:cs="Times New Roman"/>
          <w:szCs w:val="24"/>
        </w:rPr>
        <w:t xml:space="preserve">external sources (appeals/reports and statistical information on violations in the activities of state </w:t>
      </w:r>
      <w:r w:rsidRPr="00B46DE2">
        <w:rPr>
          <w:rFonts w:eastAsiaTheme="minorHAnsi" w:cs="Times New Roman"/>
          <w:szCs w:val="24"/>
        </w:rPr>
        <w:t>bodies/organizations, results of sociological studies, materials provided by law enforcement authorities, etc.).</w:t>
      </w:r>
    </w:p>
    <w:p w14:paraId="3A21775E" w14:textId="77777777" w:rsidR="00570480" w:rsidRPr="00B46DE2" w:rsidRDefault="00000000" w:rsidP="001E5982">
      <w:pPr>
        <w:spacing w:after="40" w:line="259" w:lineRule="auto"/>
        <w:ind w:left="-567" w:right="283" w:firstLine="567"/>
        <w:jc w:val="both"/>
        <w:rPr>
          <w:rFonts w:eastAsiaTheme="minorHAnsi" w:cs="Times New Roman"/>
          <w:szCs w:val="24"/>
        </w:rPr>
      </w:pPr>
      <w:r w:rsidRPr="00B46DE2">
        <w:rPr>
          <w:rFonts w:eastAsiaTheme="minorHAnsi" w:cs="Times New Roman"/>
          <w:szCs w:val="24"/>
        </w:rPr>
        <w:t>At the same time, in order to identify and assess corruption risks, the Working Group is recommended to analyze a number of situations, in particular:</w:t>
      </w:r>
    </w:p>
    <w:p w14:paraId="30ED3208" w14:textId="77777777" w:rsidR="00570480" w:rsidRPr="00B46DE2" w:rsidRDefault="00000000" w:rsidP="001E5982">
      <w:pPr>
        <w:spacing w:after="40" w:line="259" w:lineRule="auto"/>
        <w:ind w:left="-567" w:right="283" w:firstLine="567"/>
        <w:jc w:val="both"/>
        <w:rPr>
          <w:rFonts w:eastAsiaTheme="minorHAnsi" w:cs="Times New Roman"/>
          <w:szCs w:val="24"/>
        </w:rPr>
      </w:pPr>
      <w:r w:rsidRPr="00B46DE2">
        <w:rPr>
          <w:rFonts w:eastAsiaTheme="minorHAnsi" w:cs="Times New Roman"/>
          <w:szCs w:val="24"/>
        </w:rPr>
        <w:t>commission of corruption offenses by Employees;</w:t>
      </w:r>
    </w:p>
    <w:p w14:paraId="16A5316E" w14:textId="77777777" w:rsidR="00570480" w:rsidRPr="004C51D0" w:rsidRDefault="00000000" w:rsidP="001E5982">
      <w:pPr>
        <w:spacing w:after="40" w:line="259" w:lineRule="auto"/>
        <w:ind w:left="-567" w:right="283" w:firstLine="567"/>
        <w:jc w:val="both"/>
        <w:rPr>
          <w:rFonts w:eastAsiaTheme="minorHAnsi" w:cs="Times New Roman"/>
          <w:szCs w:val="24"/>
        </w:rPr>
      </w:pPr>
      <w:r w:rsidRPr="00B46DE2">
        <w:rPr>
          <w:rFonts w:eastAsiaTheme="minorHAnsi" w:cs="Times New Roman"/>
          <w:szCs w:val="24"/>
        </w:rPr>
        <w:t>the existence of additional income among</w:t>
      </w:r>
      <w:r w:rsidRPr="004C51D0">
        <w:rPr>
          <w:rFonts w:eastAsiaTheme="minorHAnsi" w:cs="Times New Roman"/>
          <w:szCs w:val="24"/>
        </w:rPr>
        <w:t xml:space="preserve"> Employees, as well as the Executive Body, in the performance of tasks and functions;</w:t>
      </w:r>
    </w:p>
    <w:p w14:paraId="5A65F83D" w14:textId="77777777" w:rsidR="00570480" w:rsidRPr="004C51D0" w:rsidRDefault="00000000" w:rsidP="001E5982">
      <w:pPr>
        <w:spacing w:after="40" w:line="259" w:lineRule="auto"/>
        <w:ind w:left="-567" w:right="283" w:firstLine="567"/>
        <w:jc w:val="both"/>
        <w:rPr>
          <w:rFonts w:eastAsiaTheme="minorHAnsi" w:cs="Times New Roman"/>
          <w:szCs w:val="24"/>
        </w:rPr>
      </w:pPr>
      <w:r w:rsidRPr="004C51D0">
        <w:rPr>
          <w:rFonts w:eastAsiaTheme="minorHAnsi" w:cs="Times New Roman"/>
          <w:szCs w:val="24"/>
        </w:rPr>
        <w:t>untimely or unreasonably rapid decision-making by Employees;</w:t>
      </w:r>
    </w:p>
    <w:p w14:paraId="14F12D9B" w14:textId="77777777" w:rsidR="00570480" w:rsidRPr="004C51D0" w:rsidRDefault="00000000" w:rsidP="001E5982">
      <w:pPr>
        <w:spacing w:after="40" w:line="259" w:lineRule="auto"/>
        <w:ind w:left="-567" w:right="283" w:firstLine="567"/>
        <w:jc w:val="both"/>
        <w:rPr>
          <w:rFonts w:eastAsiaTheme="minorHAnsi" w:cs="Times New Roman"/>
          <w:szCs w:val="24"/>
        </w:rPr>
      </w:pPr>
      <w:r w:rsidRPr="004C51D0">
        <w:rPr>
          <w:rFonts w:eastAsiaTheme="minorHAnsi" w:cs="Times New Roman"/>
          <w:szCs w:val="24"/>
        </w:rPr>
        <w:t>the entry by Employees of knowingly false information into documents and electronic databases;</w:t>
      </w:r>
    </w:p>
    <w:p w14:paraId="036F46F0" w14:textId="77777777" w:rsidR="00570480" w:rsidRPr="004C51D0" w:rsidRDefault="00000000" w:rsidP="001E5982">
      <w:pPr>
        <w:spacing w:after="40" w:line="259" w:lineRule="auto"/>
        <w:ind w:left="-567" w:right="283" w:firstLine="567"/>
        <w:jc w:val="both"/>
        <w:rPr>
          <w:rFonts w:eastAsiaTheme="minorHAnsi" w:cs="Times New Roman"/>
          <w:szCs w:val="24"/>
        </w:rPr>
      </w:pPr>
      <w:r w:rsidRPr="004C51D0">
        <w:rPr>
          <w:rFonts w:eastAsiaTheme="minorHAnsi" w:cs="Times New Roman"/>
          <w:szCs w:val="24"/>
        </w:rPr>
        <w:t>Employees being in a conflict-of-interest situation when exercising official powers;</w:t>
      </w:r>
    </w:p>
    <w:p w14:paraId="5F011E6E" w14:textId="77777777" w:rsidR="00570480" w:rsidRPr="004C51D0" w:rsidRDefault="00000000" w:rsidP="001E5982">
      <w:pPr>
        <w:spacing w:after="40" w:line="259" w:lineRule="auto"/>
        <w:ind w:left="-567" w:right="283" w:firstLine="567"/>
        <w:jc w:val="both"/>
        <w:rPr>
          <w:rFonts w:eastAsiaTheme="minorHAnsi" w:cs="Times New Roman"/>
          <w:szCs w:val="24"/>
        </w:rPr>
      </w:pPr>
      <w:r w:rsidRPr="004C51D0">
        <w:rPr>
          <w:rFonts w:eastAsiaTheme="minorHAnsi" w:cs="Times New Roman"/>
          <w:szCs w:val="24"/>
        </w:rPr>
        <w:t>the existence of favoritism and similar practices at the Exchange.</w:t>
      </w:r>
    </w:p>
    <w:p w14:paraId="48F95979" w14:textId="74B10B46" w:rsidR="00570480" w:rsidRPr="00833355" w:rsidRDefault="00000000" w:rsidP="001E5982">
      <w:pPr>
        <w:spacing w:after="40" w:line="259" w:lineRule="auto"/>
        <w:ind w:left="-567" w:right="283" w:firstLine="567"/>
        <w:jc w:val="both"/>
        <w:rPr>
          <w:rFonts w:eastAsiaTheme="minorHAnsi" w:cs="Times New Roman"/>
          <w:szCs w:val="24"/>
        </w:rPr>
      </w:pPr>
      <w:r w:rsidRPr="00833355">
        <w:rPr>
          <w:rFonts w:eastAsiaTheme="minorHAnsi" w:cs="Times New Roman"/>
          <w:szCs w:val="24"/>
        </w:rPr>
        <w:t xml:space="preserve">3.3.2. The results of the work on assessing and classifying corruption risks are divided into three categories, presented in Appendix </w:t>
      </w:r>
      <w:r w:rsidR="00833355" w:rsidRPr="00833355">
        <w:rPr>
          <w:rFonts w:eastAsiaTheme="minorHAnsi" w:cs="Times New Roman"/>
          <w:szCs w:val="24"/>
        </w:rPr>
        <w:t>№</w:t>
      </w:r>
      <w:r w:rsidRPr="00833355">
        <w:rPr>
          <w:rFonts w:eastAsiaTheme="minorHAnsi" w:cs="Times New Roman"/>
          <w:szCs w:val="24"/>
        </w:rPr>
        <w:t xml:space="preserve"> 3 to the Regulation:</w:t>
      </w:r>
    </w:p>
    <w:p w14:paraId="20EA45EF" w14:textId="266C3384" w:rsidR="00570480" w:rsidRPr="004C51D0" w:rsidRDefault="00000000" w:rsidP="001E5982">
      <w:pPr>
        <w:spacing w:after="40" w:line="259" w:lineRule="auto"/>
        <w:ind w:left="-567" w:right="283" w:firstLine="567"/>
        <w:jc w:val="both"/>
        <w:rPr>
          <w:rFonts w:eastAsiaTheme="minorHAnsi" w:cs="Times New Roman"/>
          <w:szCs w:val="24"/>
        </w:rPr>
      </w:pPr>
      <w:r w:rsidRPr="004C51D0">
        <w:rPr>
          <w:rFonts w:eastAsiaTheme="minorHAnsi" w:cs="Times New Roman"/>
          <w:b/>
          <w:bCs/>
          <w:szCs w:val="24"/>
        </w:rPr>
        <w:t xml:space="preserve">a </w:t>
      </w:r>
      <w:r w:rsidR="004C51D0" w:rsidRPr="004C51D0">
        <w:rPr>
          <w:rFonts w:eastAsiaTheme="minorHAnsi" w:cs="Times New Roman"/>
          <w:b/>
          <w:bCs/>
          <w:szCs w:val="24"/>
        </w:rPr>
        <w:t>high</w:t>
      </w:r>
      <w:r w:rsidR="004C51D0">
        <w:rPr>
          <w:rFonts w:eastAsiaTheme="minorHAnsi" w:cs="Times New Roman"/>
          <w:b/>
          <w:bCs/>
          <w:szCs w:val="24"/>
        </w:rPr>
        <w:t>-risk</w:t>
      </w:r>
      <w:r w:rsidRPr="004C51D0">
        <w:rPr>
          <w:rFonts w:eastAsiaTheme="minorHAnsi" w:cs="Times New Roman"/>
          <w:b/>
          <w:bCs/>
          <w:szCs w:val="24"/>
        </w:rPr>
        <w:t xml:space="preserve"> level</w:t>
      </w:r>
      <w:r w:rsidRPr="004C51D0">
        <w:rPr>
          <w:rFonts w:eastAsiaTheme="minorHAnsi" w:cs="Times New Roman"/>
          <w:szCs w:val="24"/>
        </w:rPr>
        <w:t xml:space="preserve"> is assigned to procedures carried out within functions most exposed to corruption risks;</w:t>
      </w:r>
    </w:p>
    <w:p w14:paraId="5689A688" w14:textId="77777777" w:rsidR="00570480" w:rsidRPr="004C51D0" w:rsidRDefault="00000000" w:rsidP="001E5982">
      <w:pPr>
        <w:spacing w:after="40" w:line="259" w:lineRule="auto"/>
        <w:ind w:left="-567" w:right="283" w:firstLine="567"/>
        <w:jc w:val="both"/>
        <w:rPr>
          <w:rFonts w:eastAsiaTheme="minorHAnsi" w:cs="Times New Roman"/>
          <w:szCs w:val="24"/>
        </w:rPr>
      </w:pPr>
      <w:r w:rsidRPr="004C51D0">
        <w:rPr>
          <w:rFonts w:eastAsiaTheme="minorHAnsi" w:cs="Times New Roman"/>
          <w:b/>
          <w:bCs/>
          <w:szCs w:val="24"/>
        </w:rPr>
        <w:t>a medium risk level</w:t>
      </w:r>
      <w:r w:rsidRPr="004C51D0">
        <w:rPr>
          <w:rFonts w:eastAsiaTheme="minorHAnsi" w:cs="Times New Roman"/>
          <w:szCs w:val="24"/>
        </w:rPr>
        <w:t xml:space="preserve"> is assigned to procedures performed within functions least exposed to corruption risks;</w:t>
      </w:r>
    </w:p>
    <w:p w14:paraId="79C69EE5" w14:textId="77777777" w:rsidR="00570480" w:rsidRPr="004C51D0" w:rsidRDefault="00000000" w:rsidP="001E5982">
      <w:pPr>
        <w:spacing w:after="40" w:line="259" w:lineRule="auto"/>
        <w:ind w:left="-567" w:right="283" w:firstLine="567"/>
        <w:jc w:val="both"/>
        <w:rPr>
          <w:rFonts w:eastAsiaTheme="minorHAnsi" w:cs="Times New Roman"/>
          <w:szCs w:val="24"/>
        </w:rPr>
      </w:pPr>
      <w:r w:rsidRPr="004C51D0">
        <w:rPr>
          <w:rFonts w:eastAsiaTheme="minorHAnsi" w:cs="Times New Roman"/>
          <w:b/>
          <w:bCs/>
          <w:szCs w:val="24"/>
        </w:rPr>
        <w:t>specific low-level risks</w:t>
      </w:r>
      <w:r w:rsidRPr="004C51D0">
        <w:rPr>
          <w:rFonts w:eastAsiaTheme="minorHAnsi" w:cs="Times New Roman"/>
          <w:szCs w:val="24"/>
        </w:rPr>
        <w:t xml:space="preserve"> are not provided for and may be used in exceptional cases on the basis of a reasoned judgment of the Compliance Control Department of the Exchange.</w:t>
      </w:r>
    </w:p>
    <w:p w14:paraId="53CAC22F" w14:textId="77777777" w:rsidR="00570480" w:rsidRPr="004C51D0" w:rsidRDefault="00000000" w:rsidP="001E5982">
      <w:pPr>
        <w:spacing w:after="40" w:line="259" w:lineRule="auto"/>
        <w:ind w:left="-567" w:right="283" w:firstLine="567"/>
        <w:jc w:val="both"/>
        <w:rPr>
          <w:rFonts w:eastAsiaTheme="minorHAnsi" w:cs="Times New Roman"/>
          <w:szCs w:val="24"/>
        </w:rPr>
      </w:pPr>
      <w:r w:rsidRPr="004C51D0">
        <w:rPr>
          <w:rFonts w:eastAsiaTheme="minorHAnsi" w:cs="Times New Roman"/>
          <w:szCs w:val="24"/>
        </w:rPr>
        <w:t>3.3.3. In the process of assessing corruption risks, it is necessary to analyze the possibility of committing corruption actions for each function and procedure of the Exchange.</w:t>
      </w:r>
    </w:p>
    <w:p w14:paraId="24885CD1" w14:textId="77777777" w:rsidR="00570480" w:rsidRPr="004C51D0" w:rsidRDefault="00000000" w:rsidP="001E5982">
      <w:pPr>
        <w:spacing w:after="40" w:line="259" w:lineRule="auto"/>
        <w:ind w:left="-567" w:right="283" w:firstLine="567"/>
        <w:jc w:val="both"/>
        <w:rPr>
          <w:rFonts w:eastAsiaTheme="minorHAnsi" w:cs="Times New Roman"/>
          <w:szCs w:val="24"/>
        </w:rPr>
      </w:pPr>
      <w:r w:rsidRPr="004C51D0">
        <w:rPr>
          <w:rFonts w:eastAsiaTheme="minorHAnsi" w:cs="Times New Roman"/>
          <w:szCs w:val="24"/>
        </w:rPr>
        <w:t>3.3.4. When assessing the level of residual corruption risk, the probability of occurrence of a risk event is taken into account.</w:t>
      </w:r>
    </w:p>
    <w:p w14:paraId="1E5D8C4E" w14:textId="60EAFC0D" w:rsidR="00570480" w:rsidRDefault="00000000">
      <w:pPr>
        <w:spacing w:before="160" w:after="120"/>
        <w:jc w:val="center"/>
      </w:pPr>
      <w:r>
        <w:rPr>
          <w:b/>
        </w:rPr>
        <w:t xml:space="preserve">Chapter V. Measures to </w:t>
      </w:r>
      <w:r w:rsidR="001E5982">
        <w:rPr>
          <w:b/>
        </w:rPr>
        <w:t>m</w:t>
      </w:r>
      <w:r>
        <w:rPr>
          <w:b/>
        </w:rPr>
        <w:t xml:space="preserve">inimize the </w:t>
      </w:r>
      <w:r w:rsidR="001E5982">
        <w:rPr>
          <w:b/>
        </w:rPr>
        <w:t>r</w:t>
      </w:r>
      <w:r>
        <w:rPr>
          <w:b/>
        </w:rPr>
        <w:t xml:space="preserve">esidual </w:t>
      </w:r>
      <w:r w:rsidR="001E5982">
        <w:rPr>
          <w:b/>
        </w:rPr>
        <w:t>l</w:t>
      </w:r>
      <w:r>
        <w:rPr>
          <w:b/>
        </w:rPr>
        <w:t xml:space="preserve">evel of </w:t>
      </w:r>
      <w:r w:rsidR="001E5982">
        <w:rPr>
          <w:b/>
        </w:rPr>
        <w:t>c</w:t>
      </w:r>
      <w:r>
        <w:rPr>
          <w:b/>
        </w:rPr>
        <w:t xml:space="preserve">orruption </w:t>
      </w:r>
      <w:r w:rsidR="001E5982">
        <w:rPr>
          <w:b/>
        </w:rPr>
        <w:t>r</w:t>
      </w:r>
      <w:r>
        <w:rPr>
          <w:b/>
        </w:rPr>
        <w:t>isk</w:t>
      </w:r>
    </w:p>
    <w:p w14:paraId="05DC3FAA" w14:textId="77777777" w:rsidR="00570480" w:rsidRPr="004C51D0" w:rsidRDefault="00000000" w:rsidP="001E5982">
      <w:pPr>
        <w:spacing w:after="40" w:line="259" w:lineRule="auto"/>
        <w:ind w:left="-567" w:right="283" w:firstLine="567"/>
        <w:jc w:val="both"/>
        <w:rPr>
          <w:rFonts w:eastAsiaTheme="minorHAnsi" w:cs="Times New Roman"/>
          <w:szCs w:val="24"/>
        </w:rPr>
      </w:pPr>
      <w:r w:rsidRPr="004C51D0">
        <w:rPr>
          <w:rFonts w:eastAsiaTheme="minorHAnsi" w:cs="Times New Roman"/>
          <w:szCs w:val="24"/>
        </w:rPr>
        <w:t>5.1. Monitoring of the implementation of measures to minimize identified corruption risks is carried out by the Working Group in order to assess the effectiveness of the measures implemented to minimize identified corruption risks.</w:t>
      </w:r>
    </w:p>
    <w:p w14:paraId="6D83207E" w14:textId="77777777" w:rsidR="00570480" w:rsidRPr="004C51D0" w:rsidRDefault="00000000" w:rsidP="001E5982">
      <w:pPr>
        <w:spacing w:after="40" w:line="259" w:lineRule="auto"/>
        <w:ind w:left="-567" w:right="283" w:firstLine="567"/>
        <w:jc w:val="both"/>
        <w:rPr>
          <w:rFonts w:eastAsiaTheme="minorHAnsi" w:cs="Times New Roman"/>
          <w:szCs w:val="24"/>
        </w:rPr>
      </w:pPr>
      <w:r w:rsidRPr="004C51D0">
        <w:rPr>
          <w:rFonts w:eastAsiaTheme="minorHAnsi" w:cs="Times New Roman"/>
          <w:szCs w:val="24"/>
        </w:rPr>
        <w:t>5.2. A report on the monitoring results is submitted to the Head of the Executive Body and/or his/her deputy.</w:t>
      </w:r>
    </w:p>
    <w:p w14:paraId="5A826367" w14:textId="77777777" w:rsidR="00570480" w:rsidRPr="004C51D0" w:rsidRDefault="00000000" w:rsidP="001E5982">
      <w:pPr>
        <w:spacing w:after="40" w:line="259" w:lineRule="auto"/>
        <w:ind w:left="-567" w:right="283" w:firstLine="567"/>
        <w:jc w:val="both"/>
        <w:rPr>
          <w:rFonts w:eastAsiaTheme="minorHAnsi" w:cs="Times New Roman"/>
          <w:szCs w:val="24"/>
        </w:rPr>
      </w:pPr>
      <w:r w:rsidRPr="004C51D0">
        <w:rPr>
          <w:rFonts w:eastAsiaTheme="minorHAnsi" w:cs="Times New Roman"/>
          <w:szCs w:val="24"/>
        </w:rPr>
        <w:t>5.3. The results of the monitoring conducted may serve as a basis for repeating the corruption risk assessment or for introducing changes to the corruption risk map of the Exchange.</w:t>
      </w:r>
    </w:p>
    <w:p w14:paraId="572C5A55" w14:textId="77777777" w:rsidR="00570480" w:rsidRDefault="00000000">
      <w:r>
        <w:br w:type="page"/>
      </w:r>
    </w:p>
    <w:p w14:paraId="5B9248A4" w14:textId="18B75B39" w:rsidR="00570480" w:rsidRPr="001E5982" w:rsidRDefault="00000000">
      <w:pPr>
        <w:spacing w:after="0" w:line="252" w:lineRule="auto"/>
        <w:jc w:val="right"/>
        <w:rPr>
          <w:sz w:val="20"/>
          <w:szCs w:val="20"/>
        </w:rPr>
      </w:pPr>
      <w:r w:rsidRPr="001E5982">
        <w:rPr>
          <w:sz w:val="20"/>
          <w:szCs w:val="20"/>
        </w:rPr>
        <w:lastRenderedPageBreak/>
        <w:t xml:space="preserve">Table </w:t>
      </w:r>
      <w:r w:rsidR="001E5982" w:rsidRPr="004C51D0">
        <w:rPr>
          <w:sz w:val="20"/>
          <w:szCs w:val="20"/>
        </w:rPr>
        <w:t>№</w:t>
      </w:r>
      <w:r w:rsidRPr="001E5982">
        <w:rPr>
          <w:sz w:val="20"/>
          <w:szCs w:val="20"/>
        </w:rPr>
        <w:t>1</w:t>
      </w:r>
    </w:p>
    <w:p w14:paraId="15F9ACA6" w14:textId="12C5155F" w:rsidR="00570480" w:rsidRPr="001E5982" w:rsidRDefault="00000000">
      <w:pPr>
        <w:spacing w:after="0" w:line="252" w:lineRule="auto"/>
        <w:jc w:val="right"/>
        <w:rPr>
          <w:sz w:val="20"/>
          <w:szCs w:val="20"/>
        </w:rPr>
      </w:pPr>
      <w:r w:rsidRPr="001E5982">
        <w:rPr>
          <w:sz w:val="20"/>
          <w:szCs w:val="20"/>
        </w:rPr>
        <w:t xml:space="preserve">to the Regulation “On the </w:t>
      </w:r>
      <w:r w:rsidR="00594526">
        <w:rPr>
          <w:sz w:val="20"/>
          <w:szCs w:val="20"/>
        </w:rPr>
        <w:t>a</w:t>
      </w:r>
      <w:r w:rsidRPr="001E5982">
        <w:rPr>
          <w:sz w:val="20"/>
          <w:szCs w:val="20"/>
        </w:rPr>
        <w:t xml:space="preserve">ssessment of </w:t>
      </w:r>
      <w:r w:rsidR="00594526">
        <w:rPr>
          <w:sz w:val="20"/>
          <w:szCs w:val="20"/>
        </w:rPr>
        <w:t>c</w:t>
      </w:r>
      <w:r w:rsidRPr="001E5982">
        <w:rPr>
          <w:sz w:val="20"/>
          <w:szCs w:val="20"/>
        </w:rPr>
        <w:t xml:space="preserve">orruption </w:t>
      </w:r>
      <w:r w:rsidR="00594526">
        <w:rPr>
          <w:sz w:val="20"/>
          <w:szCs w:val="20"/>
        </w:rPr>
        <w:t>r</w:t>
      </w:r>
      <w:r w:rsidRPr="001E5982">
        <w:rPr>
          <w:sz w:val="20"/>
          <w:szCs w:val="20"/>
        </w:rPr>
        <w:t>isks of JSC RSE “Toshkent”.</w:t>
      </w:r>
    </w:p>
    <w:p w14:paraId="1BEB4BCF" w14:textId="77777777" w:rsidR="001E5982" w:rsidRDefault="001E5982">
      <w:pPr>
        <w:spacing w:after="0" w:line="252" w:lineRule="auto"/>
        <w:jc w:val="right"/>
        <w:rPr>
          <w:sz w:val="22"/>
        </w:rPr>
      </w:pPr>
    </w:p>
    <w:p w14:paraId="7AF0D0D3" w14:textId="77777777" w:rsidR="001E5982" w:rsidRDefault="001E5982">
      <w:pPr>
        <w:spacing w:after="0" w:line="252" w:lineRule="auto"/>
        <w:jc w:val="right"/>
      </w:pPr>
    </w:p>
    <w:p w14:paraId="3D887A81" w14:textId="7C36C019" w:rsidR="00570480" w:rsidRPr="001E5982" w:rsidRDefault="00000000" w:rsidP="001E5982">
      <w:pPr>
        <w:spacing w:after="0" w:line="252" w:lineRule="auto"/>
        <w:jc w:val="center"/>
        <w:rPr>
          <w:b/>
        </w:rPr>
      </w:pPr>
      <w:r>
        <w:rPr>
          <w:b/>
        </w:rPr>
        <w:t>The following MATRIX may be used as a calculation methodology:</w:t>
      </w:r>
    </w:p>
    <w:p w14:paraId="41588D0F" w14:textId="77777777" w:rsidR="001E5982" w:rsidRDefault="001E5982" w:rsidP="001E5982">
      <w:pPr>
        <w:spacing w:after="0" w:line="240" w:lineRule="auto"/>
        <w:ind w:left="567" w:right="156"/>
        <w:jc w:val="center"/>
        <w:rPr>
          <w:b/>
          <w:snapToGrid w:val="0"/>
          <w:sz w:val="22"/>
          <w:lang w:eastAsia="ru-RU"/>
        </w:rPr>
      </w:pPr>
    </w:p>
    <w:tbl>
      <w:tblPr>
        <w:tblStyle w:val="aff0"/>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410"/>
        <w:gridCol w:w="2410"/>
        <w:gridCol w:w="2410"/>
        <w:gridCol w:w="2410"/>
      </w:tblGrid>
      <w:tr w:rsidR="001E5982" w14:paraId="11BAE1D9" w14:textId="77777777" w:rsidTr="00203110">
        <w:trPr>
          <w:tblHeader/>
          <w:jc w:val="center"/>
        </w:trPr>
        <w:tc>
          <w:tcPr>
            <w:tcW w:w="2410" w:type="dxa"/>
            <w:vMerge w:val="restart"/>
            <w:shd w:val="clear" w:color="auto" w:fill="auto"/>
            <w:vAlign w:val="center"/>
          </w:tcPr>
          <w:p w14:paraId="37D07E4E" w14:textId="1DBA06F3" w:rsidR="001E5982" w:rsidRDefault="001E5982">
            <w:pPr>
              <w:jc w:val="center"/>
            </w:pPr>
            <w:r>
              <w:rPr>
                <w:b/>
                <w:sz w:val="19"/>
              </w:rPr>
              <w:t xml:space="preserve">Probability of </w:t>
            </w:r>
            <w:r w:rsidR="00C25B51">
              <w:rPr>
                <w:b/>
                <w:sz w:val="19"/>
              </w:rPr>
              <w:t>o</w:t>
            </w:r>
            <w:r>
              <w:rPr>
                <w:b/>
                <w:sz w:val="19"/>
              </w:rPr>
              <w:t>ccurrence (P)</w:t>
            </w:r>
          </w:p>
        </w:tc>
        <w:tc>
          <w:tcPr>
            <w:tcW w:w="7230" w:type="dxa"/>
            <w:gridSpan w:val="3"/>
            <w:shd w:val="clear" w:color="auto" w:fill="auto"/>
            <w:vAlign w:val="center"/>
          </w:tcPr>
          <w:p w14:paraId="6C9E58A0" w14:textId="6E9533BB" w:rsidR="001E5982" w:rsidRDefault="001E5982">
            <w:pPr>
              <w:jc w:val="center"/>
            </w:pPr>
            <w:r>
              <w:rPr>
                <w:b/>
                <w:sz w:val="19"/>
              </w:rPr>
              <w:t xml:space="preserve">Severity of </w:t>
            </w:r>
            <w:r w:rsidR="00C25B51">
              <w:rPr>
                <w:b/>
                <w:sz w:val="19"/>
              </w:rPr>
              <w:t>c</w:t>
            </w:r>
            <w:r>
              <w:rPr>
                <w:b/>
                <w:sz w:val="19"/>
              </w:rPr>
              <w:t>onsequences (S)</w:t>
            </w:r>
          </w:p>
        </w:tc>
      </w:tr>
      <w:tr w:rsidR="001E5982" w14:paraId="693E3498" w14:textId="77777777" w:rsidTr="001E5982">
        <w:trPr>
          <w:tblHeader/>
          <w:jc w:val="center"/>
        </w:trPr>
        <w:tc>
          <w:tcPr>
            <w:tcW w:w="2410" w:type="dxa"/>
            <w:vMerge/>
            <w:shd w:val="clear" w:color="auto" w:fill="auto"/>
            <w:vAlign w:val="center"/>
          </w:tcPr>
          <w:p w14:paraId="4976EEB7" w14:textId="77777777" w:rsidR="001E5982" w:rsidRDefault="001E5982">
            <w:pPr>
              <w:jc w:val="center"/>
            </w:pPr>
          </w:p>
        </w:tc>
        <w:tc>
          <w:tcPr>
            <w:tcW w:w="2410" w:type="dxa"/>
            <w:shd w:val="clear" w:color="auto" w:fill="auto"/>
            <w:vAlign w:val="center"/>
          </w:tcPr>
          <w:p w14:paraId="72B0B4C0" w14:textId="77777777" w:rsidR="001E5982" w:rsidRDefault="001E5982">
            <w:pPr>
              <w:jc w:val="center"/>
            </w:pPr>
            <w:r>
              <w:rPr>
                <w:b/>
                <w:sz w:val="19"/>
              </w:rPr>
              <w:t>1 (low)</w:t>
            </w:r>
          </w:p>
        </w:tc>
        <w:tc>
          <w:tcPr>
            <w:tcW w:w="2410" w:type="dxa"/>
            <w:shd w:val="clear" w:color="auto" w:fill="auto"/>
            <w:vAlign w:val="center"/>
          </w:tcPr>
          <w:p w14:paraId="00131487" w14:textId="77777777" w:rsidR="001E5982" w:rsidRDefault="001E5982">
            <w:pPr>
              <w:jc w:val="center"/>
            </w:pPr>
            <w:r>
              <w:rPr>
                <w:b/>
                <w:sz w:val="19"/>
              </w:rPr>
              <w:t>2 (medium)</w:t>
            </w:r>
          </w:p>
        </w:tc>
        <w:tc>
          <w:tcPr>
            <w:tcW w:w="2410" w:type="dxa"/>
            <w:shd w:val="clear" w:color="auto" w:fill="auto"/>
            <w:vAlign w:val="center"/>
          </w:tcPr>
          <w:p w14:paraId="77072C5F" w14:textId="77777777" w:rsidR="001E5982" w:rsidRDefault="001E5982">
            <w:pPr>
              <w:jc w:val="center"/>
            </w:pPr>
            <w:r>
              <w:rPr>
                <w:b/>
                <w:sz w:val="19"/>
              </w:rPr>
              <w:t>3 (significant)</w:t>
            </w:r>
          </w:p>
        </w:tc>
      </w:tr>
      <w:tr w:rsidR="00570480" w14:paraId="36A14677" w14:textId="77777777" w:rsidTr="001E5982">
        <w:trPr>
          <w:jc w:val="center"/>
        </w:trPr>
        <w:tc>
          <w:tcPr>
            <w:tcW w:w="2410" w:type="dxa"/>
            <w:shd w:val="clear" w:color="auto" w:fill="auto"/>
            <w:vAlign w:val="center"/>
          </w:tcPr>
          <w:p w14:paraId="12748B0E" w14:textId="77777777" w:rsidR="00570480" w:rsidRDefault="00000000">
            <w:pPr>
              <w:jc w:val="center"/>
            </w:pPr>
            <w:r>
              <w:rPr>
                <w:b/>
                <w:sz w:val="19"/>
              </w:rPr>
              <w:t>1 (unlikely)</w:t>
            </w:r>
          </w:p>
        </w:tc>
        <w:tc>
          <w:tcPr>
            <w:tcW w:w="2410" w:type="dxa"/>
            <w:shd w:val="clear" w:color="auto" w:fill="auto"/>
            <w:vAlign w:val="center"/>
          </w:tcPr>
          <w:p w14:paraId="1C0757C7" w14:textId="77777777" w:rsidR="00570480" w:rsidRDefault="00000000">
            <w:pPr>
              <w:jc w:val="center"/>
            </w:pPr>
            <w:r>
              <w:rPr>
                <w:sz w:val="19"/>
              </w:rPr>
              <w:t>1</w:t>
            </w:r>
          </w:p>
        </w:tc>
        <w:tc>
          <w:tcPr>
            <w:tcW w:w="2410" w:type="dxa"/>
            <w:shd w:val="clear" w:color="auto" w:fill="auto"/>
            <w:vAlign w:val="center"/>
          </w:tcPr>
          <w:p w14:paraId="60BF2FE7" w14:textId="77777777" w:rsidR="00570480" w:rsidRDefault="00000000">
            <w:pPr>
              <w:jc w:val="center"/>
            </w:pPr>
            <w:r>
              <w:rPr>
                <w:sz w:val="19"/>
              </w:rPr>
              <w:t>2</w:t>
            </w:r>
          </w:p>
        </w:tc>
        <w:tc>
          <w:tcPr>
            <w:tcW w:w="2410" w:type="dxa"/>
            <w:shd w:val="clear" w:color="auto" w:fill="FFFF00"/>
            <w:vAlign w:val="center"/>
          </w:tcPr>
          <w:p w14:paraId="219D9D1E" w14:textId="77777777" w:rsidR="00570480" w:rsidRDefault="00000000">
            <w:pPr>
              <w:jc w:val="center"/>
            </w:pPr>
            <w:r>
              <w:rPr>
                <w:sz w:val="19"/>
              </w:rPr>
              <w:t>3</w:t>
            </w:r>
          </w:p>
        </w:tc>
      </w:tr>
      <w:tr w:rsidR="00570480" w14:paraId="6E991B08" w14:textId="77777777" w:rsidTr="001E5982">
        <w:trPr>
          <w:jc w:val="center"/>
        </w:trPr>
        <w:tc>
          <w:tcPr>
            <w:tcW w:w="2410" w:type="dxa"/>
            <w:shd w:val="clear" w:color="auto" w:fill="auto"/>
            <w:vAlign w:val="center"/>
          </w:tcPr>
          <w:p w14:paraId="64191068" w14:textId="77777777" w:rsidR="00570480" w:rsidRDefault="00000000">
            <w:pPr>
              <w:jc w:val="center"/>
            </w:pPr>
            <w:r>
              <w:rPr>
                <w:b/>
                <w:sz w:val="19"/>
              </w:rPr>
              <w:t>2 (likely)</w:t>
            </w:r>
          </w:p>
        </w:tc>
        <w:tc>
          <w:tcPr>
            <w:tcW w:w="2410" w:type="dxa"/>
            <w:shd w:val="clear" w:color="auto" w:fill="auto"/>
            <w:vAlign w:val="center"/>
          </w:tcPr>
          <w:p w14:paraId="30974311" w14:textId="77777777" w:rsidR="00570480" w:rsidRDefault="00000000">
            <w:pPr>
              <w:jc w:val="center"/>
            </w:pPr>
            <w:r>
              <w:rPr>
                <w:sz w:val="19"/>
              </w:rPr>
              <w:t>2</w:t>
            </w:r>
          </w:p>
        </w:tc>
        <w:tc>
          <w:tcPr>
            <w:tcW w:w="2410" w:type="dxa"/>
            <w:shd w:val="clear" w:color="auto" w:fill="FFFF00"/>
            <w:vAlign w:val="center"/>
          </w:tcPr>
          <w:p w14:paraId="35F4C27C" w14:textId="77777777" w:rsidR="00570480" w:rsidRDefault="00000000">
            <w:pPr>
              <w:jc w:val="center"/>
            </w:pPr>
            <w:r>
              <w:rPr>
                <w:sz w:val="19"/>
              </w:rPr>
              <w:t>4</w:t>
            </w:r>
          </w:p>
        </w:tc>
        <w:tc>
          <w:tcPr>
            <w:tcW w:w="2410" w:type="dxa"/>
            <w:shd w:val="clear" w:color="auto" w:fill="FABF8F" w:themeFill="accent6" w:themeFillTint="99"/>
            <w:vAlign w:val="center"/>
          </w:tcPr>
          <w:p w14:paraId="09D5EAB0" w14:textId="77777777" w:rsidR="00570480" w:rsidRDefault="00000000">
            <w:pPr>
              <w:jc w:val="center"/>
            </w:pPr>
            <w:r>
              <w:rPr>
                <w:sz w:val="19"/>
              </w:rPr>
              <w:t>6</w:t>
            </w:r>
          </w:p>
        </w:tc>
      </w:tr>
      <w:tr w:rsidR="00570480" w14:paraId="618EA6A5" w14:textId="77777777" w:rsidTr="001E5982">
        <w:trPr>
          <w:jc w:val="center"/>
        </w:trPr>
        <w:tc>
          <w:tcPr>
            <w:tcW w:w="2410" w:type="dxa"/>
            <w:shd w:val="clear" w:color="auto" w:fill="auto"/>
            <w:vAlign w:val="center"/>
          </w:tcPr>
          <w:p w14:paraId="02AEEB7C" w14:textId="77777777" w:rsidR="00570480" w:rsidRDefault="00000000">
            <w:pPr>
              <w:jc w:val="center"/>
            </w:pPr>
            <w:r>
              <w:rPr>
                <w:b/>
                <w:sz w:val="19"/>
              </w:rPr>
              <w:t>3 (very likely)</w:t>
            </w:r>
          </w:p>
        </w:tc>
        <w:tc>
          <w:tcPr>
            <w:tcW w:w="2410" w:type="dxa"/>
            <w:shd w:val="clear" w:color="auto" w:fill="FFFF00"/>
            <w:vAlign w:val="center"/>
          </w:tcPr>
          <w:p w14:paraId="0B8CA4FB" w14:textId="77777777" w:rsidR="00570480" w:rsidRDefault="00000000">
            <w:pPr>
              <w:jc w:val="center"/>
            </w:pPr>
            <w:r>
              <w:rPr>
                <w:sz w:val="19"/>
              </w:rPr>
              <w:t>3</w:t>
            </w:r>
          </w:p>
        </w:tc>
        <w:tc>
          <w:tcPr>
            <w:tcW w:w="2410" w:type="dxa"/>
            <w:shd w:val="clear" w:color="auto" w:fill="FABF8F" w:themeFill="accent6" w:themeFillTint="99"/>
            <w:vAlign w:val="center"/>
          </w:tcPr>
          <w:p w14:paraId="2DA1D5C1" w14:textId="77777777" w:rsidR="00570480" w:rsidRDefault="00000000">
            <w:pPr>
              <w:jc w:val="center"/>
            </w:pPr>
            <w:r>
              <w:rPr>
                <w:sz w:val="19"/>
              </w:rPr>
              <w:t>6</w:t>
            </w:r>
          </w:p>
        </w:tc>
        <w:tc>
          <w:tcPr>
            <w:tcW w:w="2410" w:type="dxa"/>
            <w:shd w:val="clear" w:color="auto" w:fill="FF0000"/>
            <w:vAlign w:val="center"/>
          </w:tcPr>
          <w:p w14:paraId="349209CC" w14:textId="77777777" w:rsidR="00570480" w:rsidRDefault="00000000">
            <w:pPr>
              <w:jc w:val="center"/>
            </w:pPr>
            <w:r>
              <w:rPr>
                <w:sz w:val="19"/>
              </w:rPr>
              <w:t>9</w:t>
            </w:r>
          </w:p>
        </w:tc>
      </w:tr>
    </w:tbl>
    <w:p w14:paraId="13E274CF" w14:textId="77777777" w:rsidR="00570480" w:rsidRDefault="00570480"/>
    <w:p w14:paraId="04A1EC46" w14:textId="312A2845" w:rsidR="001E5982" w:rsidRPr="004C51D0" w:rsidRDefault="001E5982" w:rsidP="001E5982">
      <w:pPr>
        <w:spacing w:after="0" w:line="240" w:lineRule="auto"/>
        <w:ind w:left="-567" w:right="424" w:firstLine="284"/>
        <w:jc w:val="both"/>
        <w:rPr>
          <w:b/>
          <w:sz w:val="22"/>
          <w:lang w:eastAsia="ru-RU"/>
        </w:rPr>
      </w:pPr>
      <w:r w:rsidRPr="004C51D0">
        <w:rPr>
          <w:b/>
          <w:sz w:val="22"/>
          <w:lang w:eastAsia="ru-RU"/>
        </w:rPr>
        <w:t xml:space="preserve">Risk Index (R) is the product of the </w:t>
      </w:r>
      <w:r w:rsidR="00B52549">
        <w:rPr>
          <w:b/>
          <w:sz w:val="22"/>
          <w:lang w:eastAsia="ru-RU"/>
        </w:rPr>
        <w:t>s</w:t>
      </w:r>
      <w:r w:rsidRPr="004C51D0">
        <w:rPr>
          <w:b/>
          <w:sz w:val="22"/>
          <w:lang w:eastAsia="ru-RU"/>
        </w:rPr>
        <w:t xml:space="preserve">everity of </w:t>
      </w:r>
      <w:r w:rsidR="00B52549">
        <w:rPr>
          <w:b/>
          <w:sz w:val="22"/>
          <w:lang w:eastAsia="ru-RU"/>
        </w:rPr>
        <w:t>c</w:t>
      </w:r>
      <w:r w:rsidRPr="004C51D0">
        <w:rPr>
          <w:b/>
          <w:sz w:val="22"/>
          <w:lang w:eastAsia="ru-RU"/>
        </w:rPr>
        <w:t xml:space="preserve">onsequences (S) and the </w:t>
      </w:r>
      <w:r w:rsidR="00B52549">
        <w:rPr>
          <w:b/>
          <w:sz w:val="22"/>
          <w:lang w:eastAsia="ru-RU"/>
        </w:rPr>
        <w:t>p</w:t>
      </w:r>
      <w:r w:rsidRPr="004C51D0">
        <w:rPr>
          <w:b/>
          <w:sz w:val="22"/>
          <w:lang w:eastAsia="ru-RU"/>
        </w:rPr>
        <w:t xml:space="preserve">robability of </w:t>
      </w:r>
      <w:r w:rsidR="00B52549">
        <w:rPr>
          <w:b/>
          <w:sz w:val="22"/>
          <w:lang w:eastAsia="ru-RU"/>
        </w:rPr>
        <w:t>o</w:t>
      </w:r>
      <w:r w:rsidRPr="004C51D0">
        <w:rPr>
          <w:b/>
          <w:sz w:val="22"/>
          <w:lang w:eastAsia="ru-RU"/>
        </w:rPr>
        <w:t>ccurrence (P).</w:t>
      </w:r>
    </w:p>
    <w:p w14:paraId="5133DA39" w14:textId="77777777" w:rsidR="001E5982" w:rsidRDefault="001E5982"/>
    <w:tbl>
      <w:tblPr>
        <w:tblStyle w:val="aff0"/>
        <w:tblpPr w:leftFromText="180" w:rightFromText="180" w:vertAnchor="text" w:horzAnchor="margin" w:tblpY="59"/>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518"/>
        <w:gridCol w:w="3260"/>
        <w:gridCol w:w="3861"/>
      </w:tblGrid>
      <w:tr w:rsidR="001E5982" w:rsidRPr="004D4B9E" w14:paraId="07DC9ED4" w14:textId="77777777" w:rsidTr="0098327B">
        <w:trPr>
          <w:trHeight w:val="694"/>
          <w:tblHeader/>
        </w:trPr>
        <w:tc>
          <w:tcPr>
            <w:tcW w:w="2518" w:type="dxa"/>
            <w:shd w:val="clear" w:color="auto" w:fill="auto"/>
            <w:vAlign w:val="center"/>
          </w:tcPr>
          <w:p w14:paraId="36613B1E" w14:textId="77777777" w:rsidR="001E5982" w:rsidRPr="004D4B9E" w:rsidRDefault="001E5982" w:rsidP="0098327B">
            <w:pPr>
              <w:ind w:left="567" w:right="156"/>
              <w:rPr>
                <w:b/>
                <w:snapToGrid w:val="0"/>
                <w:sz w:val="22"/>
                <w:lang w:eastAsia="ru-RU"/>
              </w:rPr>
            </w:pPr>
            <w:r w:rsidRPr="004D4B9E">
              <w:rPr>
                <w:b/>
                <w:snapToGrid w:val="0"/>
                <w:sz w:val="22"/>
                <w:lang w:eastAsia="ru-RU"/>
              </w:rPr>
              <w:t>Index</w:t>
            </w:r>
          </w:p>
        </w:tc>
        <w:tc>
          <w:tcPr>
            <w:tcW w:w="3260" w:type="dxa"/>
            <w:shd w:val="clear" w:color="auto" w:fill="auto"/>
            <w:vAlign w:val="center"/>
          </w:tcPr>
          <w:p w14:paraId="4B25BE72" w14:textId="141D0935" w:rsidR="001E5982" w:rsidRPr="004D4B9E" w:rsidRDefault="001E5982" w:rsidP="0098327B">
            <w:pPr>
              <w:ind w:left="567" w:right="156"/>
              <w:rPr>
                <w:b/>
                <w:snapToGrid w:val="0"/>
                <w:sz w:val="22"/>
                <w:lang w:eastAsia="ru-RU"/>
              </w:rPr>
            </w:pPr>
            <w:r w:rsidRPr="004D4B9E">
              <w:rPr>
                <w:b/>
                <w:snapToGrid w:val="0"/>
                <w:sz w:val="22"/>
                <w:lang w:eastAsia="ru-RU"/>
              </w:rPr>
              <w:t xml:space="preserve">Criterion </w:t>
            </w:r>
            <w:r w:rsidR="004D4B9E">
              <w:rPr>
                <w:b/>
                <w:snapToGrid w:val="0"/>
                <w:sz w:val="22"/>
                <w:lang w:eastAsia="ru-RU"/>
              </w:rPr>
              <w:t>v</w:t>
            </w:r>
            <w:r w:rsidRPr="004D4B9E">
              <w:rPr>
                <w:b/>
                <w:snapToGrid w:val="0"/>
                <w:sz w:val="22"/>
                <w:lang w:eastAsia="ru-RU"/>
              </w:rPr>
              <w:t>alue</w:t>
            </w:r>
          </w:p>
        </w:tc>
        <w:tc>
          <w:tcPr>
            <w:tcW w:w="3861" w:type="dxa"/>
            <w:shd w:val="clear" w:color="auto" w:fill="auto"/>
            <w:vAlign w:val="center"/>
          </w:tcPr>
          <w:p w14:paraId="0207FF5F" w14:textId="771D7DD0" w:rsidR="001E5982" w:rsidRPr="004D4B9E" w:rsidRDefault="001E5982" w:rsidP="0098327B">
            <w:pPr>
              <w:ind w:left="567" w:right="156"/>
              <w:rPr>
                <w:b/>
                <w:snapToGrid w:val="0"/>
                <w:sz w:val="22"/>
                <w:lang w:eastAsia="ru-RU"/>
              </w:rPr>
            </w:pPr>
            <w:r w:rsidRPr="004D4B9E">
              <w:rPr>
                <w:b/>
                <w:snapToGrid w:val="0"/>
                <w:sz w:val="22"/>
                <w:lang w:eastAsia="ru-RU"/>
              </w:rPr>
              <w:t xml:space="preserve">Management </w:t>
            </w:r>
            <w:r w:rsidR="004D4B9E">
              <w:rPr>
                <w:b/>
                <w:snapToGrid w:val="0"/>
                <w:sz w:val="22"/>
                <w:lang w:eastAsia="ru-RU"/>
              </w:rPr>
              <w:t>s</w:t>
            </w:r>
            <w:r w:rsidRPr="004D4B9E">
              <w:rPr>
                <w:b/>
                <w:snapToGrid w:val="0"/>
                <w:sz w:val="22"/>
                <w:lang w:eastAsia="ru-RU"/>
              </w:rPr>
              <w:t>tatus</w:t>
            </w:r>
          </w:p>
        </w:tc>
      </w:tr>
      <w:tr w:rsidR="001E5982" w:rsidRPr="004D4B9E" w14:paraId="289821CC" w14:textId="77777777" w:rsidTr="0098327B">
        <w:tc>
          <w:tcPr>
            <w:tcW w:w="2518" w:type="dxa"/>
            <w:shd w:val="clear" w:color="auto" w:fill="auto"/>
            <w:vAlign w:val="center"/>
          </w:tcPr>
          <w:p w14:paraId="35C5F127" w14:textId="77777777" w:rsidR="001E5982" w:rsidRPr="004D4B9E" w:rsidRDefault="001E5982" w:rsidP="0098327B">
            <w:pPr>
              <w:ind w:left="567" w:right="156"/>
              <w:jc w:val="center"/>
              <w:rPr>
                <w:bCs/>
                <w:snapToGrid w:val="0"/>
                <w:sz w:val="22"/>
                <w:lang w:eastAsia="ru-RU"/>
              </w:rPr>
            </w:pPr>
            <w:r w:rsidRPr="004D4B9E">
              <w:rPr>
                <w:bCs/>
                <w:snapToGrid w:val="0"/>
                <w:sz w:val="22"/>
                <w:lang w:eastAsia="ru-RU"/>
              </w:rPr>
              <w:t>1–2</w:t>
            </w:r>
          </w:p>
        </w:tc>
        <w:tc>
          <w:tcPr>
            <w:tcW w:w="3260" w:type="dxa"/>
            <w:shd w:val="clear" w:color="auto" w:fill="auto"/>
            <w:vAlign w:val="center"/>
          </w:tcPr>
          <w:p w14:paraId="05C1303E" w14:textId="01CE7CE7" w:rsidR="001E5982" w:rsidRPr="004D4B9E" w:rsidRDefault="001E5982" w:rsidP="001E5982">
            <w:pPr>
              <w:tabs>
                <w:tab w:val="center" w:pos="4677"/>
                <w:tab w:val="right" w:pos="9355"/>
              </w:tabs>
              <w:ind w:left="176"/>
              <w:rPr>
                <w:bCs/>
                <w:snapToGrid w:val="0"/>
                <w:sz w:val="22"/>
                <w:lang w:eastAsia="ru-RU"/>
              </w:rPr>
            </w:pPr>
            <w:r w:rsidRPr="004D4B9E">
              <w:rPr>
                <w:snapToGrid w:val="0"/>
                <w:sz w:val="22"/>
                <w:lang w:eastAsia="ru-RU"/>
              </w:rPr>
              <w:t xml:space="preserve">Insignificant </w:t>
            </w:r>
            <w:r w:rsidR="004D4B9E" w:rsidRPr="004D4B9E">
              <w:rPr>
                <w:snapToGrid w:val="0"/>
                <w:sz w:val="22"/>
                <w:lang w:eastAsia="ru-RU"/>
              </w:rPr>
              <w:t>r</w:t>
            </w:r>
            <w:r w:rsidRPr="004D4B9E">
              <w:rPr>
                <w:snapToGrid w:val="0"/>
                <w:sz w:val="22"/>
                <w:lang w:eastAsia="ru-RU"/>
              </w:rPr>
              <w:t>isk</w:t>
            </w:r>
          </w:p>
        </w:tc>
        <w:tc>
          <w:tcPr>
            <w:tcW w:w="3861" w:type="dxa"/>
            <w:shd w:val="clear" w:color="auto" w:fill="auto"/>
            <w:vAlign w:val="center"/>
          </w:tcPr>
          <w:p w14:paraId="5F645EDD" w14:textId="77777777" w:rsidR="001E5982" w:rsidRPr="004D4B9E" w:rsidRDefault="001E5982" w:rsidP="001E5982">
            <w:pPr>
              <w:tabs>
                <w:tab w:val="center" w:pos="4677"/>
                <w:tab w:val="right" w:pos="9355"/>
              </w:tabs>
              <w:ind w:left="173" w:right="37"/>
              <w:jc w:val="both"/>
              <w:rPr>
                <w:bCs/>
                <w:snapToGrid w:val="0"/>
                <w:sz w:val="22"/>
                <w:lang w:eastAsia="ru-RU"/>
              </w:rPr>
            </w:pPr>
            <w:r w:rsidRPr="004D4B9E">
              <w:rPr>
                <w:snapToGrid w:val="0"/>
                <w:sz w:val="22"/>
                <w:lang w:eastAsia="ru-RU"/>
              </w:rPr>
              <w:t>Risk acceptance</w:t>
            </w:r>
          </w:p>
        </w:tc>
      </w:tr>
      <w:tr w:rsidR="001E5982" w:rsidRPr="004D4B9E" w14:paraId="1172BFA6" w14:textId="77777777" w:rsidTr="0098327B">
        <w:tc>
          <w:tcPr>
            <w:tcW w:w="2518" w:type="dxa"/>
            <w:shd w:val="clear" w:color="auto" w:fill="auto"/>
            <w:vAlign w:val="center"/>
          </w:tcPr>
          <w:p w14:paraId="6F555CF5" w14:textId="77777777" w:rsidR="001E5982" w:rsidRPr="004D4B9E" w:rsidRDefault="001E5982" w:rsidP="0098327B">
            <w:pPr>
              <w:ind w:left="567" w:right="156"/>
              <w:jc w:val="center"/>
              <w:rPr>
                <w:bCs/>
                <w:snapToGrid w:val="0"/>
                <w:sz w:val="22"/>
                <w:lang w:eastAsia="ru-RU"/>
              </w:rPr>
            </w:pPr>
            <w:r w:rsidRPr="004D4B9E">
              <w:rPr>
                <w:bCs/>
                <w:snapToGrid w:val="0"/>
                <w:sz w:val="22"/>
                <w:lang w:eastAsia="ru-RU"/>
              </w:rPr>
              <w:t>3–4</w:t>
            </w:r>
          </w:p>
        </w:tc>
        <w:tc>
          <w:tcPr>
            <w:tcW w:w="3260" w:type="dxa"/>
            <w:shd w:val="clear" w:color="auto" w:fill="auto"/>
            <w:vAlign w:val="center"/>
          </w:tcPr>
          <w:p w14:paraId="38DC18A4" w14:textId="553CED99" w:rsidR="001E5982" w:rsidRPr="004D4B9E" w:rsidRDefault="001E5982" w:rsidP="001E5982">
            <w:pPr>
              <w:tabs>
                <w:tab w:val="center" w:pos="4677"/>
                <w:tab w:val="right" w:pos="9355"/>
              </w:tabs>
              <w:ind w:left="176"/>
              <w:rPr>
                <w:snapToGrid w:val="0"/>
                <w:sz w:val="22"/>
                <w:lang w:eastAsia="ru-RU"/>
              </w:rPr>
            </w:pPr>
            <w:r w:rsidRPr="004D4B9E">
              <w:rPr>
                <w:snapToGrid w:val="0"/>
                <w:sz w:val="22"/>
                <w:lang w:eastAsia="ru-RU"/>
              </w:rPr>
              <w:t xml:space="preserve">Risk </w:t>
            </w:r>
            <w:r w:rsidR="0098327B" w:rsidRPr="004D4B9E">
              <w:rPr>
                <w:snapToGrid w:val="0"/>
                <w:sz w:val="22"/>
                <w:lang w:eastAsia="ru-RU"/>
              </w:rPr>
              <w:t>under</w:t>
            </w:r>
            <w:r w:rsidRPr="004D4B9E">
              <w:rPr>
                <w:snapToGrid w:val="0"/>
                <w:sz w:val="22"/>
                <w:lang w:eastAsia="ru-RU"/>
              </w:rPr>
              <w:t xml:space="preserve"> </w:t>
            </w:r>
            <w:r w:rsidR="004D4B9E" w:rsidRPr="004D4B9E">
              <w:rPr>
                <w:snapToGrid w:val="0"/>
                <w:sz w:val="22"/>
                <w:lang w:eastAsia="ru-RU"/>
              </w:rPr>
              <w:t>m</w:t>
            </w:r>
            <w:r w:rsidRPr="004D4B9E">
              <w:rPr>
                <w:snapToGrid w:val="0"/>
                <w:sz w:val="22"/>
                <w:lang w:eastAsia="ru-RU"/>
              </w:rPr>
              <w:t>anagement</w:t>
            </w:r>
          </w:p>
        </w:tc>
        <w:tc>
          <w:tcPr>
            <w:tcW w:w="3861" w:type="dxa"/>
            <w:shd w:val="clear" w:color="auto" w:fill="auto"/>
            <w:vAlign w:val="center"/>
          </w:tcPr>
          <w:p w14:paraId="6EAA2C4F" w14:textId="77777777" w:rsidR="001E5982" w:rsidRPr="004D4B9E" w:rsidRDefault="001E5982" w:rsidP="001E5982">
            <w:pPr>
              <w:tabs>
                <w:tab w:val="center" w:pos="4677"/>
                <w:tab w:val="right" w:pos="9355"/>
              </w:tabs>
              <w:ind w:left="173" w:right="37"/>
              <w:jc w:val="both"/>
              <w:rPr>
                <w:bCs/>
                <w:snapToGrid w:val="0"/>
                <w:sz w:val="22"/>
                <w:lang w:eastAsia="ru-RU"/>
              </w:rPr>
            </w:pPr>
            <w:r w:rsidRPr="004D4B9E">
              <w:rPr>
                <w:snapToGrid w:val="0"/>
                <w:sz w:val="22"/>
                <w:lang w:eastAsia="ru-RU"/>
              </w:rPr>
              <w:t>Risk acceptance with consideration of the feasibility of actions</w:t>
            </w:r>
          </w:p>
        </w:tc>
      </w:tr>
      <w:tr w:rsidR="001E5982" w:rsidRPr="004D4B9E" w14:paraId="697398AD" w14:textId="77777777" w:rsidTr="0098327B">
        <w:tc>
          <w:tcPr>
            <w:tcW w:w="2518" w:type="dxa"/>
            <w:shd w:val="clear" w:color="auto" w:fill="auto"/>
            <w:vAlign w:val="center"/>
          </w:tcPr>
          <w:p w14:paraId="7A2EFAF9" w14:textId="77777777" w:rsidR="001E5982" w:rsidRPr="004D4B9E" w:rsidRDefault="001E5982" w:rsidP="0098327B">
            <w:pPr>
              <w:ind w:left="567" w:right="156"/>
              <w:jc w:val="center"/>
              <w:rPr>
                <w:bCs/>
                <w:snapToGrid w:val="0"/>
                <w:sz w:val="22"/>
                <w:lang w:eastAsia="ru-RU"/>
              </w:rPr>
            </w:pPr>
            <w:r w:rsidRPr="004D4B9E">
              <w:rPr>
                <w:bCs/>
                <w:snapToGrid w:val="0"/>
                <w:sz w:val="22"/>
                <w:lang w:eastAsia="ru-RU"/>
              </w:rPr>
              <w:t>6</w:t>
            </w:r>
          </w:p>
        </w:tc>
        <w:tc>
          <w:tcPr>
            <w:tcW w:w="3260" w:type="dxa"/>
            <w:shd w:val="clear" w:color="auto" w:fill="auto"/>
            <w:vAlign w:val="center"/>
          </w:tcPr>
          <w:p w14:paraId="775F2115" w14:textId="6006B3FF" w:rsidR="001E5982" w:rsidRPr="004D4B9E" w:rsidRDefault="001E5982" w:rsidP="001E5982">
            <w:pPr>
              <w:tabs>
                <w:tab w:val="center" w:pos="4677"/>
                <w:tab w:val="right" w:pos="9355"/>
              </w:tabs>
              <w:ind w:left="176"/>
              <w:rPr>
                <w:snapToGrid w:val="0"/>
                <w:sz w:val="22"/>
                <w:lang w:eastAsia="ru-RU"/>
              </w:rPr>
            </w:pPr>
            <w:r w:rsidRPr="004D4B9E">
              <w:rPr>
                <w:snapToGrid w:val="0"/>
                <w:sz w:val="22"/>
                <w:lang w:eastAsia="ru-RU"/>
              </w:rPr>
              <w:t xml:space="preserve">Significant </w:t>
            </w:r>
            <w:r w:rsidR="004D4B9E" w:rsidRPr="004D4B9E">
              <w:rPr>
                <w:snapToGrid w:val="0"/>
                <w:sz w:val="22"/>
                <w:lang w:eastAsia="ru-RU"/>
              </w:rPr>
              <w:t>r</w:t>
            </w:r>
            <w:r w:rsidRPr="004D4B9E">
              <w:rPr>
                <w:snapToGrid w:val="0"/>
                <w:sz w:val="22"/>
                <w:lang w:eastAsia="ru-RU"/>
              </w:rPr>
              <w:t>isk</w:t>
            </w:r>
          </w:p>
        </w:tc>
        <w:tc>
          <w:tcPr>
            <w:tcW w:w="3861" w:type="dxa"/>
            <w:shd w:val="clear" w:color="auto" w:fill="auto"/>
            <w:vAlign w:val="center"/>
          </w:tcPr>
          <w:p w14:paraId="178521EF" w14:textId="77777777" w:rsidR="001E5982" w:rsidRPr="004D4B9E" w:rsidRDefault="001E5982" w:rsidP="001E5982">
            <w:pPr>
              <w:tabs>
                <w:tab w:val="center" w:pos="4677"/>
                <w:tab w:val="right" w:pos="9355"/>
              </w:tabs>
              <w:ind w:left="173" w:right="37"/>
              <w:jc w:val="both"/>
              <w:rPr>
                <w:snapToGrid w:val="0"/>
                <w:sz w:val="22"/>
                <w:lang w:eastAsia="ru-RU"/>
              </w:rPr>
            </w:pPr>
            <w:r w:rsidRPr="004D4B9E">
              <w:rPr>
                <w:snapToGrid w:val="0"/>
                <w:sz w:val="22"/>
                <w:lang w:eastAsia="ru-RU"/>
              </w:rPr>
              <w:t>Development of measures to eliminate or reduce the impact</w:t>
            </w:r>
          </w:p>
        </w:tc>
      </w:tr>
      <w:tr w:rsidR="001E5982" w:rsidRPr="004D4B9E" w14:paraId="4CCD54B0" w14:textId="77777777" w:rsidTr="0098327B">
        <w:tc>
          <w:tcPr>
            <w:tcW w:w="2518" w:type="dxa"/>
            <w:shd w:val="clear" w:color="auto" w:fill="auto"/>
            <w:vAlign w:val="center"/>
          </w:tcPr>
          <w:p w14:paraId="12B5104C" w14:textId="77777777" w:rsidR="001E5982" w:rsidRPr="004D4B9E" w:rsidRDefault="001E5982" w:rsidP="0098327B">
            <w:pPr>
              <w:ind w:left="567" w:right="156"/>
              <w:jc w:val="center"/>
              <w:rPr>
                <w:bCs/>
                <w:snapToGrid w:val="0"/>
                <w:sz w:val="22"/>
                <w:lang w:eastAsia="ru-RU"/>
              </w:rPr>
            </w:pPr>
            <w:r w:rsidRPr="004D4B9E">
              <w:rPr>
                <w:bCs/>
                <w:snapToGrid w:val="0"/>
                <w:sz w:val="22"/>
                <w:lang w:eastAsia="ru-RU"/>
              </w:rPr>
              <w:t>9</w:t>
            </w:r>
          </w:p>
        </w:tc>
        <w:tc>
          <w:tcPr>
            <w:tcW w:w="3260" w:type="dxa"/>
            <w:shd w:val="clear" w:color="auto" w:fill="auto"/>
            <w:vAlign w:val="center"/>
          </w:tcPr>
          <w:p w14:paraId="473EF938" w14:textId="77AE9B62" w:rsidR="001E5982" w:rsidRPr="004D4B9E" w:rsidRDefault="001E5982" w:rsidP="001E5982">
            <w:pPr>
              <w:tabs>
                <w:tab w:val="center" w:pos="4677"/>
                <w:tab w:val="right" w:pos="9355"/>
              </w:tabs>
              <w:ind w:left="176"/>
              <w:rPr>
                <w:snapToGrid w:val="0"/>
                <w:sz w:val="22"/>
                <w:lang w:eastAsia="ru-RU"/>
              </w:rPr>
            </w:pPr>
            <w:r w:rsidRPr="004D4B9E">
              <w:rPr>
                <w:snapToGrid w:val="0"/>
                <w:sz w:val="22"/>
                <w:lang w:eastAsia="ru-RU"/>
              </w:rPr>
              <w:t xml:space="preserve">Critical </w:t>
            </w:r>
            <w:r w:rsidR="004D4B9E" w:rsidRPr="004D4B9E">
              <w:rPr>
                <w:snapToGrid w:val="0"/>
                <w:sz w:val="22"/>
                <w:lang w:eastAsia="ru-RU"/>
              </w:rPr>
              <w:t>r</w:t>
            </w:r>
            <w:r w:rsidRPr="004D4B9E">
              <w:rPr>
                <w:snapToGrid w:val="0"/>
                <w:sz w:val="22"/>
                <w:lang w:eastAsia="ru-RU"/>
              </w:rPr>
              <w:t>isk</w:t>
            </w:r>
          </w:p>
        </w:tc>
        <w:tc>
          <w:tcPr>
            <w:tcW w:w="3861" w:type="dxa"/>
            <w:shd w:val="clear" w:color="auto" w:fill="auto"/>
            <w:vAlign w:val="center"/>
          </w:tcPr>
          <w:p w14:paraId="55EBA95E" w14:textId="77777777" w:rsidR="001E5982" w:rsidRPr="004D4B9E" w:rsidRDefault="001E5982" w:rsidP="001E5982">
            <w:pPr>
              <w:tabs>
                <w:tab w:val="center" w:pos="4677"/>
                <w:tab w:val="right" w:pos="9355"/>
              </w:tabs>
              <w:ind w:left="173" w:right="37"/>
              <w:jc w:val="both"/>
              <w:rPr>
                <w:snapToGrid w:val="0"/>
                <w:sz w:val="22"/>
                <w:lang w:eastAsia="ru-RU"/>
              </w:rPr>
            </w:pPr>
            <w:r w:rsidRPr="004D4B9E">
              <w:rPr>
                <w:snapToGrid w:val="0"/>
                <w:sz w:val="22"/>
                <w:lang w:eastAsia="ru-RU"/>
              </w:rPr>
              <w:t>Immediate measures to be taken</w:t>
            </w:r>
          </w:p>
        </w:tc>
      </w:tr>
    </w:tbl>
    <w:p w14:paraId="51022C87" w14:textId="77777777" w:rsidR="001E5982" w:rsidRDefault="001E5982"/>
    <w:p w14:paraId="68BD3B60" w14:textId="77777777" w:rsidR="001E5982" w:rsidRDefault="001E5982"/>
    <w:p w14:paraId="389BEDBB" w14:textId="6370C0CF" w:rsidR="001E5982" w:rsidRDefault="001E5982">
      <w:pPr>
        <w:sectPr w:rsidR="001E5982">
          <w:pgSz w:w="11906" w:h="16838"/>
          <w:pgMar w:top="1134" w:right="850" w:bottom="1134" w:left="1417" w:header="720" w:footer="720" w:gutter="0"/>
          <w:cols w:space="720"/>
          <w:docGrid w:linePitch="360"/>
        </w:sectPr>
      </w:pPr>
    </w:p>
    <w:p w14:paraId="50FC02BD" w14:textId="763C4DF0" w:rsidR="00570480" w:rsidRPr="0098327B" w:rsidRDefault="00000000">
      <w:pPr>
        <w:spacing w:after="0" w:line="252" w:lineRule="auto"/>
        <w:jc w:val="right"/>
        <w:rPr>
          <w:sz w:val="20"/>
          <w:szCs w:val="20"/>
        </w:rPr>
      </w:pPr>
      <w:r w:rsidRPr="0098327B">
        <w:rPr>
          <w:sz w:val="20"/>
          <w:szCs w:val="20"/>
        </w:rPr>
        <w:lastRenderedPageBreak/>
        <w:t xml:space="preserve">Appendix </w:t>
      </w:r>
      <w:r w:rsidR="00833355" w:rsidRPr="004C51D0">
        <w:rPr>
          <w:sz w:val="20"/>
          <w:szCs w:val="20"/>
        </w:rPr>
        <w:t>№</w:t>
      </w:r>
      <w:r w:rsidRPr="0098327B">
        <w:rPr>
          <w:sz w:val="20"/>
          <w:szCs w:val="20"/>
        </w:rPr>
        <w:t xml:space="preserve"> 1</w:t>
      </w:r>
    </w:p>
    <w:p w14:paraId="6F01E466" w14:textId="0237CFCE" w:rsidR="00570480" w:rsidRDefault="00000000">
      <w:pPr>
        <w:spacing w:after="0" w:line="252" w:lineRule="auto"/>
        <w:jc w:val="right"/>
        <w:rPr>
          <w:sz w:val="20"/>
          <w:szCs w:val="20"/>
        </w:rPr>
      </w:pPr>
      <w:r w:rsidRPr="0098327B">
        <w:rPr>
          <w:sz w:val="20"/>
          <w:szCs w:val="20"/>
        </w:rPr>
        <w:t xml:space="preserve">to the Regulation “On the </w:t>
      </w:r>
      <w:r w:rsidR="00B52549">
        <w:rPr>
          <w:sz w:val="20"/>
          <w:szCs w:val="20"/>
        </w:rPr>
        <w:t>a</w:t>
      </w:r>
      <w:r w:rsidRPr="0098327B">
        <w:rPr>
          <w:sz w:val="20"/>
          <w:szCs w:val="20"/>
        </w:rPr>
        <w:t xml:space="preserve">ssessment of </w:t>
      </w:r>
      <w:r w:rsidR="00B52549">
        <w:rPr>
          <w:sz w:val="20"/>
          <w:szCs w:val="20"/>
        </w:rPr>
        <w:t>c</w:t>
      </w:r>
      <w:r w:rsidRPr="0098327B">
        <w:rPr>
          <w:sz w:val="20"/>
          <w:szCs w:val="20"/>
        </w:rPr>
        <w:t xml:space="preserve">orruption </w:t>
      </w:r>
      <w:r w:rsidR="00B52549">
        <w:rPr>
          <w:sz w:val="20"/>
          <w:szCs w:val="20"/>
        </w:rPr>
        <w:t>r</w:t>
      </w:r>
      <w:r w:rsidRPr="0098327B">
        <w:rPr>
          <w:sz w:val="20"/>
          <w:szCs w:val="20"/>
        </w:rPr>
        <w:t>isks of JSC RSE “Toshkent”.</w:t>
      </w:r>
    </w:p>
    <w:p w14:paraId="79844BF6" w14:textId="77777777" w:rsidR="0098327B" w:rsidRDefault="0098327B">
      <w:pPr>
        <w:spacing w:after="0" w:line="252" w:lineRule="auto"/>
        <w:jc w:val="right"/>
        <w:rPr>
          <w:sz w:val="20"/>
          <w:szCs w:val="20"/>
        </w:rPr>
      </w:pPr>
    </w:p>
    <w:p w14:paraId="6A439644" w14:textId="77777777" w:rsidR="0098327B" w:rsidRPr="0098327B" w:rsidRDefault="0098327B">
      <w:pPr>
        <w:spacing w:after="0" w:line="252" w:lineRule="auto"/>
        <w:jc w:val="right"/>
        <w:rPr>
          <w:sz w:val="20"/>
          <w:szCs w:val="20"/>
        </w:rPr>
      </w:pPr>
    </w:p>
    <w:p w14:paraId="36A411CB" w14:textId="13D95D94" w:rsidR="00570480" w:rsidRDefault="00000000">
      <w:pPr>
        <w:spacing w:before="160" w:after="120"/>
        <w:jc w:val="center"/>
      </w:pPr>
      <w:r>
        <w:rPr>
          <w:b/>
        </w:rPr>
        <w:t xml:space="preserve">Summary Protocol of </w:t>
      </w:r>
      <w:r w:rsidR="00B52549">
        <w:rPr>
          <w:b/>
        </w:rPr>
        <w:t>e</w:t>
      </w:r>
      <w:r>
        <w:rPr>
          <w:b/>
        </w:rPr>
        <w:t xml:space="preserve">xpert </w:t>
      </w:r>
      <w:r w:rsidR="00B52549">
        <w:rPr>
          <w:b/>
        </w:rPr>
        <w:t>a</w:t>
      </w:r>
      <w:r>
        <w:rPr>
          <w:b/>
        </w:rPr>
        <w:t xml:space="preserve">ssessment of </w:t>
      </w:r>
      <w:r w:rsidR="00B52549">
        <w:rPr>
          <w:b/>
        </w:rPr>
        <w:t>p</w:t>
      </w:r>
      <w:r>
        <w:rPr>
          <w:b/>
        </w:rPr>
        <w:t xml:space="preserve">ositions and </w:t>
      </w:r>
      <w:r w:rsidR="00B52549">
        <w:rPr>
          <w:b/>
        </w:rPr>
        <w:t>p</w:t>
      </w:r>
      <w:r>
        <w:rPr>
          <w:b/>
        </w:rPr>
        <w:t xml:space="preserve">ersons with </w:t>
      </w:r>
      <w:r w:rsidR="00B52549">
        <w:rPr>
          <w:b/>
        </w:rPr>
        <w:t>r</w:t>
      </w:r>
      <w:r>
        <w:rPr>
          <w:b/>
        </w:rPr>
        <w:t>isks “Above Low”.</w:t>
      </w:r>
    </w:p>
    <w:tbl>
      <w:tblPr>
        <w:tblStyle w:val="aff0"/>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81"/>
        <w:gridCol w:w="1881"/>
        <w:gridCol w:w="884"/>
        <w:gridCol w:w="1365"/>
        <w:gridCol w:w="1310"/>
        <w:gridCol w:w="1323"/>
        <w:gridCol w:w="1433"/>
        <w:gridCol w:w="1745"/>
      </w:tblGrid>
      <w:tr w:rsidR="00570480" w14:paraId="65C73528" w14:textId="77777777" w:rsidTr="0098327B">
        <w:trPr>
          <w:jc w:val="center"/>
        </w:trPr>
        <w:tc>
          <w:tcPr>
            <w:tcW w:w="2362" w:type="dxa"/>
            <w:gridSpan w:val="2"/>
            <w:shd w:val="clear" w:color="auto" w:fill="auto"/>
            <w:vAlign w:val="center"/>
          </w:tcPr>
          <w:p w14:paraId="4F4B7296" w14:textId="77777777" w:rsidR="00570480" w:rsidRPr="00833355" w:rsidRDefault="00000000">
            <w:pPr>
              <w:jc w:val="center"/>
              <w:rPr>
                <w:szCs w:val="24"/>
              </w:rPr>
            </w:pPr>
            <w:r w:rsidRPr="00833355">
              <w:rPr>
                <w:b/>
                <w:szCs w:val="24"/>
              </w:rPr>
              <w:t>Full Name</w:t>
            </w:r>
          </w:p>
        </w:tc>
        <w:tc>
          <w:tcPr>
            <w:tcW w:w="2249" w:type="dxa"/>
            <w:gridSpan w:val="2"/>
            <w:shd w:val="clear" w:color="auto" w:fill="auto"/>
            <w:vAlign w:val="center"/>
          </w:tcPr>
          <w:p w14:paraId="1C77B62B" w14:textId="77777777" w:rsidR="00570480" w:rsidRPr="00833355" w:rsidRDefault="00000000">
            <w:pPr>
              <w:jc w:val="center"/>
              <w:rPr>
                <w:szCs w:val="24"/>
              </w:rPr>
            </w:pPr>
            <w:r w:rsidRPr="00833355">
              <w:rPr>
                <w:b/>
                <w:szCs w:val="24"/>
              </w:rPr>
              <w:t>Position</w:t>
            </w:r>
          </w:p>
        </w:tc>
        <w:tc>
          <w:tcPr>
            <w:tcW w:w="2633" w:type="dxa"/>
            <w:gridSpan w:val="2"/>
            <w:shd w:val="clear" w:color="auto" w:fill="auto"/>
            <w:vAlign w:val="center"/>
          </w:tcPr>
          <w:p w14:paraId="379442A6" w14:textId="77777777" w:rsidR="00570480" w:rsidRPr="00833355" w:rsidRDefault="00000000">
            <w:pPr>
              <w:jc w:val="center"/>
              <w:rPr>
                <w:szCs w:val="24"/>
              </w:rPr>
            </w:pPr>
            <w:r w:rsidRPr="00833355">
              <w:rPr>
                <w:b/>
                <w:szCs w:val="24"/>
              </w:rPr>
              <w:t>Signature</w:t>
            </w:r>
          </w:p>
        </w:tc>
        <w:tc>
          <w:tcPr>
            <w:tcW w:w="3178" w:type="dxa"/>
            <w:gridSpan w:val="2"/>
            <w:shd w:val="clear" w:color="auto" w:fill="auto"/>
            <w:vAlign w:val="center"/>
          </w:tcPr>
          <w:p w14:paraId="4DCDA888" w14:textId="77777777" w:rsidR="00570480" w:rsidRPr="00833355" w:rsidRDefault="00000000">
            <w:pPr>
              <w:jc w:val="center"/>
              <w:rPr>
                <w:szCs w:val="24"/>
              </w:rPr>
            </w:pPr>
            <w:r w:rsidRPr="00833355">
              <w:rPr>
                <w:b/>
                <w:szCs w:val="24"/>
              </w:rPr>
              <w:t>Date</w:t>
            </w:r>
          </w:p>
        </w:tc>
      </w:tr>
      <w:tr w:rsidR="0098327B" w14:paraId="5354E959" w14:textId="77777777" w:rsidTr="0098327B">
        <w:trPr>
          <w:jc w:val="center"/>
        </w:trPr>
        <w:tc>
          <w:tcPr>
            <w:tcW w:w="2362" w:type="dxa"/>
            <w:gridSpan w:val="2"/>
            <w:shd w:val="clear" w:color="auto" w:fill="auto"/>
            <w:vAlign w:val="center"/>
          </w:tcPr>
          <w:p w14:paraId="4435F9D6" w14:textId="77777777" w:rsidR="0098327B" w:rsidRDefault="0098327B"/>
        </w:tc>
        <w:tc>
          <w:tcPr>
            <w:tcW w:w="2249" w:type="dxa"/>
            <w:gridSpan w:val="2"/>
            <w:shd w:val="clear" w:color="auto" w:fill="auto"/>
            <w:vAlign w:val="center"/>
          </w:tcPr>
          <w:p w14:paraId="65BE61A1" w14:textId="77777777" w:rsidR="0098327B" w:rsidRDefault="0098327B"/>
        </w:tc>
        <w:tc>
          <w:tcPr>
            <w:tcW w:w="2633" w:type="dxa"/>
            <w:gridSpan w:val="2"/>
            <w:shd w:val="clear" w:color="auto" w:fill="auto"/>
            <w:vAlign w:val="center"/>
          </w:tcPr>
          <w:p w14:paraId="53B443FD" w14:textId="77777777" w:rsidR="0098327B" w:rsidRDefault="0098327B"/>
        </w:tc>
        <w:tc>
          <w:tcPr>
            <w:tcW w:w="3178" w:type="dxa"/>
            <w:gridSpan w:val="2"/>
            <w:shd w:val="clear" w:color="auto" w:fill="auto"/>
            <w:vAlign w:val="center"/>
          </w:tcPr>
          <w:p w14:paraId="45A12D55" w14:textId="77777777" w:rsidR="0098327B" w:rsidRDefault="0098327B"/>
        </w:tc>
      </w:tr>
      <w:tr w:rsidR="00570480" w14:paraId="74F057FD" w14:textId="77777777" w:rsidTr="0098327B">
        <w:trPr>
          <w:jc w:val="center"/>
        </w:trPr>
        <w:tc>
          <w:tcPr>
            <w:tcW w:w="2362" w:type="dxa"/>
            <w:gridSpan w:val="2"/>
            <w:shd w:val="clear" w:color="auto" w:fill="auto"/>
            <w:vAlign w:val="center"/>
          </w:tcPr>
          <w:p w14:paraId="264F31E0" w14:textId="77777777" w:rsidR="00570480" w:rsidRDefault="00570480"/>
        </w:tc>
        <w:tc>
          <w:tcPr>
            <w:tcW w:w="2249" w:type="dxa"/>
            <w:gridSpan w:val="2"/>
            <w:shd w:val="clear" w:color="auto" w:fill="auto"/>
            <w:vAlign w:val="center"/>
          </w:tcPr>
          <w:p w14:paraId="473918E5" w14:textId="77777777" w:rsidR="00570480" w:rsidRDefault="00570480"/>
        </w:tc>
        <w:tc>
          <w:tcPr>
            <w:tcW w:w="2633" w:type="dxa"/>
            <w:gridSpan w:val="2"/>
            <w:shd w:val="clear" w:color="auto" w:fill="auto"/>
            <w:vAlign w:val="center"/>
          </w:tcPr>
          <w:p w14:paraId="747CDDB5" w14:textId="77777777" w:rsidR="00570480" w:rsidRDefault="00570480"/>
        </w:tc>
        <w:tc>
          <w:tcPr>
            <w:tcW w:w="3178" w:type="dxa"/>
            <w:gridSpan w:val="2"/>
            <w:shd w:val="clear" w:color="auto" w:fill="auto"/>
            <w:vAlign w:val="center"/>
          </w:tcPr>
          <w:p w14:paraId="755264C2" w14:textId="77777777" w:rsidR="00570480" w:rsidRDefault="00570480"/>
        </w:tc>
      </w:tr>
      <w:tr w:rsidR="0098327B" w14:paraId="1D9B8CEC" w14:textId="77777777" w:rsidTr="0098327B">
        <w:trPr>
          <w:tblHeader/>
          <w:jc w:val="center"/>
        </w:trPr>
        <w:tc>
          <w:tcPr>
            <w:tcW w:w="481" w:type="dxa"/>
            <w:shd w:val="clear" w:color="auto" w:fill="auto"/>
            <w:vAlign w:val="center"/>
          </w:tcPr>
          <w:p w14:paraId="436C8C4E" w14:textId="42A57E7E" w:rsidR="00570480" w:rsidRPr="00833355" w:rsidRDefault="00833355">
            <w:pPr>
              <w:jc w:val="center"/>
              <w:rPr>
                <w:sz w:val="16"/>
                <w:szCs w:val="16"/>
                <w:lang w:val="ru-RU"/>
              </w:rPr>
            </w:pPr>
            <w:r w:rsidRPr="00833355">
              <w:rPr>
                <w:sz w:val="16"/>
                <w:szCs w:val="16"/>
                <w:lang w:val="ru-RU"/>
              </w:rPr>
              <w:t>№</w:t>
            </w:r>
          </w:p>
        </w:tc>
        <w:tc>
          <w:tcPr>
            <w:tcW w:w="1881" w:type="dxa"/>
            <w:shd w:val="clear" w:color="auto" w:fill="auto"/>
            <w:vAlign w:val="center"/>
          </w:tcPr>
          <w:p w14:paraId="364F6EDE" w14:textId="77777777" w:rsidR="00570480" w:rsidRPr="00833355" w:rsidRDefault="00000000">
            <w:pPr>
              <w:jc w:val="center"/>
              <w:rPr>
                <w:sz w:val="16"/>
                <w:szCs w:val="16"/>
              </w:rPr>
            </w:pPr>
            <w:r w:rsidRPr="00833355">
              <w:rPr>
                <w:b/>
                <w:sz w:val="16"/>
                <w:szCs w:val="16"/>
              </w:rPr>
              <w:t>Process / Department (where)</w:t>
            </w:r>
          </w:p>
        </w:tc>
        <w:tc>
          <w:tcPr>
            <w:tcW w:w="884" w:type="dxa"/>
            <w:shd w:val="clear" w:color="auto" w:fill="auto"/>
            <w:vAlign w:val="center"/>
          </w:tcPr>
          <w:p w14:paraId="205D0F05" w14:textId="77777777" w:rsidR="00570480" w:rsidRPr="00833355" w:rsidRDefault="00000000">
            <w:pPr>
              <w:jc w:val="center"/>
              <w:rPr>
                <w:sz w:val="16"/>
                <w:szCs w:val="16"/>
              </w:rPr>
            </w:pPr>
            <w:r w:rsidRPr="00833355">
              <w:rPr>
                <w:b/>
                <w:sz w:val="16"/>
                <w:szCs w:val="16"/>
              </w:rPr>
              <w:t>Role (who)</w:t>
            </w:r>
          </w:p>
        </w:tc>
        <w:tc>
          <w:tcPr>
            <w:tcW w:w="1365" w:type="dxa"/>
            <w:shd w:val="clear" w:color="auto" w:fill="auto"/>
            <w:vAlign w:val="center"/>
          </w:tcPr>
          <w:p w14:paraId="2D15FA86" w14:textId="77777777" w:rsidR="00570480" w:rsidRPr="00833355" w:rsidRDefault="00000000">
            <w:pPr>
              <w:jc w:val="center"/>
              <w:rPr>
                <w:sz w:val="16"/>
                <w:szCs w:val="16"/>
              </w:rPr>
            </w:pPr>
            <w:r w:rsidRPr="00833355">
              <w:rPr>
                <w:b/>
                <w:sz w:val="16"/>
                <w:szCs w:val="16"/>
              </w:rPr>
              <w:t>Action (how)</w:t>
            </w:r>
          </w:p>
        </w:tc>
        <w:tc>
          <w:tcPr>
            <w:tcW w:w="1310" w:type="dxa"/>
            <w:shd w:val="clear" w:color="auto" w:fill="auto"/>
            <w:vAlign w:val="center"/>
          </w:tcPr>
          <w:p w14:paraId="3F38BA00" w14:textId="77777777" w:rsidR="00570480" w:rsidRPr="00833355" w:rsidRDefault="00000000">
            <w:pPr>
              <w:jc w:val="center"/>
              <w:rPr>
                <w:sz w:val="16"/>
                <w:szCs w:val="16"/>
              </w:rPr>
            </w:pPr>
            <w:r w:rsidRPr="00833355">
              <w:rPr>
                <w:b/>
                <w:sz w:val="16"/>
                <w:szCs w:val="16"/>
              </w:rPr>
              <w:t>Object of Corruption (for what purpose)</w:t>
            </w:r>
          </w:p>
        </w:tc>
        <w:tc>
          <w:tcPr>
            <w:tcW w:w="1323" w:type="dxa"/>
            <w:shd w:val="clear" w:color="auto" w:fill="auto"/>
            <w:vAlign w:val="center"/>
          </w:tcPr>
          <w:p w14:paraId="7E446B3C" w14:textId="77777777" w:rsidR="00570480" w:rsidRPr="00833355" w:rsidRDefault="00000000">
            <w:pPr>
              <w:jc w:val="center"/>
              <w:rPr>
                <w:sz w:val="16"/>
                <w:szCs w:val="16"/>
              </w:rPr>
            </w:pPr>
            <w:r w:rsidRPr="00833355">
              <w:rPr>
                <w:b/>
                <w:sz w:val="16"/>
                <w:szCs w:val="16"/>
              </w:rPr>
              <w:t>Probability (P):</w:t>
            </w:r>
            <w:r w:rsidRPr="00833355">
              <w:rPr>
                <w:b/>
                <w:sz w:val="16"/>
                <w:szCs w:val="16"/>
              </w:rPr>
              <w:br/>
            </w:r>
            <w:r w:rsidRPr="00833355">
              <w:rPr>
                <w:bCs/>
                <w:sz w:val="16"/>
                <w:szCs w:val="16"/>
              </w:rPr>
              <w:t>1 – unlikely;</w:t>
            </w:r>
            <w:r w:rsidRPr="00833355">
              <w:rPr>
                <w:bCs/>
                <w:sz w:val="16"/>
                <w:szCs w:val="16"/>
              </w:rPr>
              <w:br/>
              <w:t>2 – likely;</w:t>
            </w:r>
            <w:r w:rsidRPr="00833355">
              <w:rPr>
                <w:bCs/>
                <w:sz w:val="16"/>
                <w:szCs w:val="16"/>
              </w:rPr>
              <w:br/>
              <w:t>3 – very likely.</w:t>
            </w:r>
          </w:p>
        </w:tc>
        <w:tc>
          <w:tcPr>
            <w:tcW w:w="1433" w:type="dxa"/>
            <w:shd w:val="clear" w:color="auto" w:fill="auto"/>
            <w:vAlign w:val="center"/>
          </w:tcPr>
          <w:p w14:paraId="21D2E9D0" w14:textId="77777777" w:rsidR="00570480" w:rsidRPr="00833355" w:rsidRDefault="00000000">
            <w:pPr>
              <w:jc w:val="center"/>
              <w:rPr>
                <w:sz w:val="16"/>
                <w:szCs w:val="16"/>
              </w:rPr>
            </w:pPr>
            <w:r w:rsidRPr="00833355">
              <w:rPr>
                <w:b/>
                <w:sz w:val="16"/>
                <w:szCs w:val="16"/>
              </w:rPr>
              <w:t>Severity of Consequences (S):</w:t>
            </w:r>
            <w:r w:rsidRPr="00833355">
              <w:rPr>
                <w:b/>
                <w:sz w:val="16"/>
                <w:szCs w:val="16"/>
              </w:rPr>
              <w:br/>
            </w:r>
            <w:r w:rsidRPr="00833355">
              <w:rPr>
                <w:bCs/>
                <w:sz w:val="16"/>
                <w:szCs w:val="16"/>
              </w:rPr>
              <w:t>1 – low;</w:t>
            </w:r>
            <w:r w:rsidRPr="00833355">
              <w:rPr>
                <w:bCs/>
                <w:sz w:val="16"/>
                <w:szCs w:val="16"/>
              </w:rPr>
              <w:br/>
              <w:t>2 – medium;</w:t>
            </w:r>
            <w:r w:rsidRPr="00833355">
              <w:rPr>
                <w:bCs/>
                <w:sz w:val="16"/>
                <w:szCs w:val="16"/>
              </w:rPr>
              <w:br/>
              <w:t>3 – significant.</w:t>
            </w:r>
          </w:p>
        </w:tc>
        <w:tc>
          <w:tcPr>
            <w:tcW w:w="1745" w:type="dxa"/>
            <w:shd w:val="clear" w:color="auto" w:fill="auto"/>
            <w:vAlign w:val="center"/>
          </w:tcPr>
          <w:p w14:paraId="3360A4B5" w14:textId="77777777" w:rsidR="00570480" w:rsidRPr="00833355" w:rsidRDefault="00000000">
            <w:pPr>
              <w:jc w:val="center"/>
              <w:rPr>
                <w:sz w:val="16"/>
                <w:szCs w:val="16"/>
              </w:rPr>
            </w:pPr>
            <w:r w:rsidRPr="00833355">
              <w:rPr>
                <w:b/>
                <w:sz w:val="16"/>
                <w:szCs w:val="16"/>
              </w:rPr>
              <w:t>Existing Risk Management Measures</w:t>
            </w:r>
            <w:r w:rsidRPr="00833355">
              <w:rPr>
                <w:b/>
                <w:sz w:val="16"/>
                <w:szCs w:val="16"/>
              </w:rPr>
              <w:br/>
            </w:r>
            <w:r w:rsidRPr="00833355">
              <w:rPr>
                <w:bCs/>
                <w:sz w:val="16"/>
                <w:szCs w:val="16"/>
              </w:rPr>
              <w:t>(full verification of responsible employees whose risks “above low” require additional measures).</w:t>
            </w:r>
          </w:p>
        </w:tc>
      </w:tr>
      <w:tr w:rsidR="0098327B" w14:paraId="1D4A3523" w14:textId="77777777" w:rsidTr="0098327B">
        <w:trPr>
          <w:jc w:val="center"/>
        </w:trPr>
        <w:tc>
          <w:tcPr>
            <w:tcW w:w="481" w:type="dxa"/>
            <w:shd w:val="clear" w:color="auto" w:fill="auto"/>
            <w:vAlign w:val="center"/>
          </w:tcPr>
          <w:p w14:paraId="56C05D2E" w14:textId="6D5E2FB9" w:rsidR="0098327B" w:rsidRPr="00833355" w:rsidRDefault="0098327B">
            <w:pPr>
              <w:jc w:val="center"/>
              <w:rPr>
                <w:sz w:val="16"/>
                <w:szCs w:val="16"/>
              </w:rPr>
            </w:pPr>
            <w:r w:rsidRPr="00833355">
              <w:rPr>
                <w:sz w:val="16"/>
                <w:szCs w:val="16"/>
              </w:rPr>
              <w:t>1</w:t>
            </w:r>
          </w:p>
        </w:tc>
        <w:tc>
          <w:tcPr>
            <w:tcW w:w="1881" w:type="dxa"/>
            <w:shd w:val="clear" w:color="auto" w:fill="auto"/>
            <w:vAlign w:val="center"/>
          </w:tcPr>
          <w:p w14:paraId="2CC39EC7" w14:textId="77777777" w:rsidR="0098327B" w:rsidRPr="00833355" w:rsidRDefault="0098327B">
            <w:pPr>
              <w:rPr>
                <w:sz w:val="16"/>
                <w:szCs w:val="16"/>
              </w:rPr>
            </w:pPr>
          </w:p>
        </w:tc>
        <w:tc>
          <w:tcPr>
            <w:tcW w:w="884" w:type="dxa"/>
            <w:shd w:val="clear" w:color="auto" w:fill="auto"/>
            <w:vAlign w:val="center"/>
          </w:tcPr>
          <w:p w14:paraId="67AF15CD" w14:textId="77777777" w:rsidR="0098327B" w:rsidRPr="00833355" w:rsidRDefault="0098327B">
            <w:pPr>
              <w:rPr>
                <w:sz w:val="16"/>
                <w:szCs w:val="16"/>
              </w:rPr>
            </w:pPr>
          </w:p>
        </w:tc>
        <w:tc>
          <w:tcPr>
            <w:tcW w:w="1365" w:type="dxa"/>
            <w:shd w:val="clear" w:color="auto" w:fill="auto"/>
            <w:vAlign w:val="center"/>
          </w:tcPr>
          <w:p w14:paraId="42E44DB0" w14:textId="77777777" w:rsidR="0098327B" w:rsidRPr="00833355" w:rsidRDefault="0098327B">
            <w:pPr>
              <w:rPr>
                <w:sz w:val="16"/>
                <w:szCs w:val="16"/>
              </w:rPr>
            </w:pPr>
          </w:p>
        </w:tc>
        <w:tc>
          <w:tcPr>
            <w:tcW w:w="1310" w:type="dxa"/>
            <w:shd w:val="clear" w:color="auto" w:fill="auto"/>
            <w:vAlign w:val="center"/>
          </w:tcPr>
          <w:p w14:paraId="4B852836" w14:textId="68A83747" w:rsidR="0098327B" w:rsidRPr="00833355" w:rsidRDefault="0098327B">
            <w:pPr>
              <w:rPr>
                <w:sz w:val="16"/>
                <w:szCs w:val="16"/>
              </w:rPr>
            </w:pPr>
          </w:p>
        </w:tc>
        <w:tc>
          <w:tcPr>
            <w:tcW w:w="1323" w:type="dxa"/>
            <w:shd w:val="clear" w:color="auto" w:fill="auto"/>
            <w:vAlign w:val="center"/>
          </w:tcPr>
          <w:p w14:paraId="4E648033" w14:textId="185D861F" w:rsidR="0098327B" w:rsidRPr="00833355" w:rsidRDefault="0098327B">
            <w:pPr>
              <w:rPr>
                <w:b/>
                <w:bCs/>
                <w:sz w:val="16"/>
                <w:szCs w:val="16"/>
              </w:rPr>
            </w:pPr>
            <w:r w:rsidRPr="00833355">
              <w:rPr>
                <w:b/>
                <w:bCs/>
                <w:sz w:val="16"/>
                <w:szCs w:val="16"/>
              </w:rPr>
              <w:t>Summary probability of risk –</w:t>
            </w:r>
          </w:p>
        </w:tc>
        <w:tc>
          <w:tcPr>
            <w:tcW w:w="1433" w:type="dxa"/>
            <w:shd w:val="clear" w:color="auto" w:fill="auto"/>
            <w:vAlign w:val="center"/>
          </w:tcPr>
          <w:p w14:paraId="0097038A" w14:textId="23A01B33" w:rsidR="0098327B" w:rsidRPr="00833355" w:rsidRDefault="0098327B">
            <w:pPr>
              <w:rPr>
                <w:b/>
                <w:bCs/>
                <w:sz w:val="16"/>
                <w:szCs w:val="16"/>
              </w:rPr>
            </w:pPr>
            <w:r w:rsidRPr="00833355">
              <w:rPr>
                <w:b/>
                <w:bCs/>
                <w:sz w:val="16"/>
                <w:szCs w:val="16"/>
              </w:rPr>
              <w:t>Summary severity of consequences –</w:t>
            </w:r>
          </w:p>
        </w:tc>
        <w:tc>
          <w:tcPr>
            <w:tcW w:w="1745" w:type="dxa"/>
            <w:shd w:val="clear" w:color="auto" w:fill="auto"/>
            <w:vAlign w:val="center"/>
          </w:tcPr>
          <w:p w14:paraId="3C6F84E6" w14:textId="77777777" w:rsidR="0098327B" w:rsidRPr="00833355" w:rsidRDefault="0098327B">
            <w:pPr>
              <w:rPr>
                <w:sz w:val="16"/>
                <w:szCs w:val="16"/>
              </w:rPr>
            </w:pPr>
          </w:p>
        </w:tc>
      </w:tr>
      <w:tr w:rsidR="0098327B" w14:paraId="6AD23B25" w14:textId="77777777" w:rsidTr="0098327B">
        <w:trPr>
          <w:jc w:val="center"/>
        </w:trPr>
        <w:tc>
          <w:tcPr>
            <w:tcW w:w="481" w:type="dxa"/>
            <w:shd w:val="clear" w:color="auto" w:fill="auto"/>
            <w:vAlign w:val="center"/>
          </w:tcPr>
          <w:p w14:paraId="03435305" w14:textId="77777777" w:rsidR="0098327B" w:rsidRPr="00833355" w:rsidRDefault="0098327B">
            <w:pPr>
              <w:jc w:val="center"/>
              <w:rPr>
                <w:sz w:val="16"/>
                <w:szCs w:val="16"/>
              </w:rPr>
            </w:pPr>
          </w:p>
        </w:tc>
        <w:tc>
          <w:tcPr>
            <w:tcW w:w="1881" w:type="dxa"/>
            <w:shd w:val="clear" w:color="auto" w:fill="auto"/>
            <w:vAlign w:val="center"/>
          </w:tcPr>
          <w:p w14:paraId="48D4A89A" w14:textId="77777777" w:rsidR="0098327B" w:rsidRPr="00833355" w:rsidRDefault="0098327B">
            <w:pPr>
              <w:rPr>
                <w:sz w:val="16"/>
                <w:szCs w:val="16"/>
              </w:rPr>
            </w:pPr>
          </w:p>
        </w:tc>
        <w:tc>
          <w:tcPr>
            <w:tcW w:w="884" w:type="dxa"/>
            <w:shd w:val="clear" w:color="auto" w:fill="auto"/>
            <w:vAlign w:val="center"/>
          </w:tcPr>
          <w:p w14:paraId="21550839" w14:textId="77777777" w:rsidR="0098327B" w:rsidRPr="00833355" w:rsidRDefault="0098327B">
            <w:pPr>
              <w:rPr>
                <w:sz w:val="16"/>
                <w:szCs w:val="16"/>
              </w:rPr>
            </w:pPr>
          </w:p>
        </w:tc>
        <w:tc>
          <w:tcPr>
            <w:tcW w:w="1365" w:type="dxa"/>
            <w:shd w:val="clear" w:color="auto" w:fill="auto"/>
            <w:vAlign w:val="center"/>
          </w:tcPr>
          <w:p w14:paraId="562928E1" w14:textId="77777777" w:rsidR="0098327B" w:rsidRPr="00833355" w:rsidRDefault="0098327B">
            <w:pPr>
              <w:rPr>
                <w:sz w:val="16"/>
                <w:szCs w:val="16"/>
              </w:rPr>
            </w:pPr>
          </w:p>
        </w:tc>
        <w:tc>
          <w:tcPr>
            <w:tcW w:w="1310" w:type="dxa"/>
            <w:shd w:val="clear" w:color="auto" w:fill="auto"/>
            <w:vAlign w:val="center"/>
          </w:tcPr>
          <w:p w14:paraId="04122618" w14:textId="77777777" w:rsidR="0098327B" w:rsidRPr="00833355" w:rsidRDefault="0098327B">
            <w:pPr>
              <w:rPr>
                <w:sz w:val="16"/>
                <w:szCs w:val="16"/>
              </w:rPr>
            </w:pPr>
          </w:p>
        </w:tc>
        <w:tc>
          <w:tcPr>
            <w:tcW w:w="2756" w:type="dxa"/>
            <w:gridSpan w:val="2"/>
            <w:shd w:val="clear" w:color="auto" w:fill="auto"/>
            <w:vAlign w:val="center"/>
          </w:tcPr>
          <w:p w14:paraId="4E47F9D1" w14:textId="73DB49C7" w:rsidR="0098327B" w:rsidRPr="00833355" w:rsidRDefault="0098327B" w:rsidP="0098327B">
            <w:pPr>
              <w:jc w:val="center"/>
              <w:rPr>
                <w:b/>
                <w:bCs/>
                <w:sz w:val="16"/>
                <w:szCs w:val="16"/>
              </w:rPr>
            </w:pPr>
            <w:r w:rsidRPr="00833355">
              <w:rPr>
                <w:b/>
                <w:bCs/>
                <w:sz w:val="16"/>
                <w:szCs w:val="16"/>
              </w:rPr>
              <w:t>Summary risk index =</w:t>
            </w:r>
          </w:p>
        </w:tc>
        <w:tc>
          <w:tcPr>
            <w:tcW w:w="1745" w:type="dxa"/>
            <w:shd w:val="clear" w:color="auto" w:fill="auto"/>
            <w:vAlign w:val="center"/>
          </w:tcPr>
          <w:p w14:paraId="3A47AD5A" w14:textId="77777777" w:rsidR="0098327B" w:rsidRPr="00833355" w:rsidRDefault="0098327B">
            <w:pPr>
              <w:rPr>
                <w:sz w:val="16"/>
                <w:szCs w:val="16"/>
              </w:rPr>
            </w:pPr>
          </w:p>
        </w:tc>
      </w:tr>
      <w:tr w:rsidR="0098327B" w14:paraId="57D7AD55" w14:textId="77777777" w:rsidTr="0098327B">
        <w:trPr>
          <w:jc w:val="center"/>
        </w:trPr>
        <w:tc>
          <w:tcPr>
            <w:tcW w:w="481" w:type="dxa"/>
            <w:shd w:val="clear" w:color="auto" w:fill="auto"/>
            <w:vAlign w:val="center"/>
          </w:tcPr>
          <w:p w14:paraId="47E6E6EA" w14:textId="77777777" w:rsidR="0098327B" w:rsidRPr="00833355" w:rsidRDefault="0098327B">
            <w:pPr>
              <w:jc w:val="center"/>
              <w:rPr>
                <w:sz w:val="16"/>
                <w:szCs w:val="16"/>
              </w:rPr>
            </w:pPr>
          </w:p>
        </w:tc>
        <w:tc>
          <w:tcPr>
            <w:tcW w:w="1881" w:type="dxa"/>
            <w:shd w:val="clear" w:color="auto" w:fill="auto"/>
            <w:vAlign w:val="center"/>
          </w:tcPr>
          <w:p w14:paraId="003579D3" w14:textId="77777777" w:rsidR="0098327B" w:rsidRPr="00833355" w:rsidRDefault="0098327B">
            <w:pPr>
              <w:rPr>
                <w:sz w:val="16"/>
                <w:szCs w:val="16"/>
              </w:rPr>
            </w:pPr>
          </w:p>
        </w:tc>
        <w:tc>
          <w:tcPr>
            <w:tcW w:w="884" w:type="dxa"/>
            <w:shd w:val="clear" w:color="auto" w:fill="auto"/>
            <w:vAlign w:val="center"/>
          </w:tcPr>
          <w:p w14:paraId="1E8F4CD3" w14:textId="77777777" w:rsidR="0098327B" w:rsidRPr="00833355" w:rsidRDefault="0098327B">
            <w:pPr>
              <w:rPr>
                <w:sz w:val="16"/>
                <w:szCs w:val="16"/>
              </w:rPr>
            </w:pPr>
          </w:p>
        </w:tc>
        <w:tc>
          <w:tcPr>
            <w:tcW w:w="1365" w:type="dxa"/>
            <w:shd w:val="clear" w:color="auto" w:fill="auto"/>
            <w:vAlign w:val="center"/>
          </w:tcPr>
          <w:p w14:paraId="7A8304D4" w14:textId="77777777" w:rsidR="0098327B" w:rsidRPr="00833355" w:rsidRDefault="0098327B">
            <w:pPr>
              <w:rPr>
                <w:sz w:val="16"/>
                <w:szCs w:val="16"/>
              </w:rPr>
            </w:pPr>
          </w:p>
        </w:tc>
        <w:tc>
          <w:tcPr>
            <w:tcW w:w="1310" w:type="dxa"/>
            <w:shd w:val="clear" w:color="auto" w:fill="auto"/>
            <w:vAlign w:val="center"/>
          </w:tcPr>
          <w:p w14:paraId="0F5D40DD" w14:textId="77777777" w:rsidR="0098327B" w:rsidRPr="00833355" w:rsidRDefault="0098327B">
            <w:pPr>
              <w:rPr>
                <w:sz w:val="16"/>
                <w:szCs w:val="16"/>
              </w:rPr>
            </w:pPr>
          </w:p>
        </w:tc>
        <w:tc>
          <w:tcPr>
            <w:tcW w:w="1323" w:type="dxa"/>
            <w:shd w:val="clear" w:color="auto" w:fill="auto"/>
            <w:vAlign w:val="center"/>
          </w:tcPr>
          <w:p w14:paraId="078E1DE7" w14:textId="7FB2FB51" w:rsidR="0098327B" w:rsidRPr="00833355" w:rsidRDefault="0098327B">
            <w:pPr>
              <w:rPr>
                <w:b/>
                <w:bCs/>
                <w:sz w:val="16"/>
                <w:szCs w:val="16"/>
              </w:rPr>
            </w:pPr>
            <w:r w:rsidRPr="00833355">
              <w:rPr>
                <w:b/>
                <w:bCs/>
                <w:sz w:val="16"/>
                <w:szCs w:val="16"/>
              </w:rPr>
              <w:t>Summary probability of risk –</w:t>
            </w:r>
          </w:p>
        </w:tc>
        <w:tc>
          <w:tcPr>
            <w:tcW w:w="1433" w:type="dxa"/>
            <w:shd w:val="clear" w:color="auto" w:fill="auto"/>
            <w:vAlign w:val="center"/>
          </w:tcPr>
          <w:p w14:paraId="721DE28F" w14:textId="21E00316" w:rsidR="0098327B" w:rsidRPr="00833355" w:rsidRDefault="0098327B">
            <w:pPr>
              <w:rPr>
                <w:b/>
                <w:bCs/>
                <w:sz w:val="16"/>
                <w:szCs w:val="16"/>
              </w:rPr>
            </w:pPr>
            <w:r w:rsidRPr="00833355">
              <w:rPr>
                <w:b/>
                <w:bCs/>
                <w:sz w:val="16"/>
                <w:szCs w:val="16"/>
              </w:rPr>
              <w:t>Summary severity of consequences –</w:t>
            </w:r>
          </w:p>
        </w:tc>
        <w:tc>
          <w:tcPr>
            <w:tcW w:w="1745" w:type="dxa"/>
            <w:shd w:val="clear" w:color="auto" w:fill="auto"/>
            <w:vAlign w:val="center"/>
          </w:tcPr>
          <w:p w14:paraId="7F897843" w14:textId="77777777" w:rsidR="0098327B" w:rsidRPr="00833355" w:rsidRDefault="0098327B">
            <w:pPr>
              <w:rPr>
                <w:sz w:val="16"/>
                <w:szCs w:val="16"/>
              </w:rPr>
            </w:pPr>
          </w:p>
        </w:tc>
      </w:tr>
      <w:tr w:rsidR="0098327B" w14:paraId="5C8FD96C" w14:textId="77777777" w:rsidTr="008D2A16">
        <w:trPr>
          <w:jc w:val="center"/>
        </w:trPr>
        <w:tc>
          <w:tcPr>
            <w:tcW w:w="481" w:type="dxa"/>
            <w:shd w:val="clear" w:color="auto" w:fill="auto"/>
            <w:vAlign w:val="center"/>
          </w:tcPr>
          <w:p w14:paraId="0C6B9B67" w14:textId="77777777" w:rsidR="0098327B" w:rsidRPr="00833355" w:rsidRDefault="0098327B">
            <w:pPr>
              <w:jc w:val="center"/>
              <w:rPr>
                <w:sz w:val="16"/>
                <w:szCs w:val="16"/>
              </w:rPr>
            </w:pPr>
          </w:p>
        </w:tc>
        <w:tc>
          <w:tcPr>
            <w:tcW w:w="1881" w:type="dxa"/>
            <w:shd w:val="clear" w:color="auto" w:fill="auto"/>
            <w:vAlign w:val="center"/>
          </w:tcPr>
          <w:p w14:paraId="17357784" w14:textId="77777777" w:rsidR="0098327B" w:rsidRPr="00833355" w:rsidRDefault="0098327B">
            <w:pPr>
              <w:rPr>
                <w:sz w:val="16"/>
                <w:szCs w:val="16"/>
              </w:rPr>
            </w:pPr>
          </w:p>
        </w:tc>
        <w:tc>
          <w:tcPr>
            <w:tcW w:w="884" w:type="dxa"/>
            <w:shd w:val="clear" w:color="auto" w:fill="auto"/>
            <w:vAlign w:val="center"/>
          </w:tcPr>
          <w:p w14:paraId="7936C629" w14:textId="77777777" w:rsidR="0098327B" w:rsidRPr="00833355" w:rsidRDefault="0098327B">
            <w:pPr>
              <w:rPr>
                <w:sz w:val="16"/>
                <w:szCs w:val="16"/>
              </w:rPr>
            </w:pPr>
          </w:p>
        </w:tc>
        <w:tc>
          <w:tcPr>
            <w:tcW w:w="1365" w:type="dxa"/>
            <w:shd w:val="clear" w:color="auto" w:fill="auto"/>
            <w:vAlign w:val="center"/>
          </w:tcPr>
          <w:p w14:paraId="455D1079" w14:textId="77777777" w:rsidR="0098327B" w:rsidRPr="00833355" w:rsidRDefault="0098327B">
            <w:pPr>
              <w:rPr>
                <w:sz w:val="16"/>
                <w:szCs w:val="16"/>
              </w:rPr>
            </w:pPr>
          </w:p>
        </w:tc>
        <w:tc>
          <w:tcPr>
            <w:tcW w:w="1310" w:type="dxa"/>
            <w:shd w:val="clear" w:color="auto" w:fill="auto"/>
            <w:vAlign w:val="center"/>
          </w:tcPr>
          <w:p w14:paraId="1E4DDC48" w14:textId="77777777" w:rsidR="0098327B" w:rsidRPr="00833355" w:rsidRDefault="0098327B">
            <w:pPr>
              <w:rPr>
                <w:sz w:val="16"/>
                <w:szCs w:val="16"/>
              </w:rPr>
            </w:pPr>
          </w:p>
        </w:tc>
        <w:tc>
          <w:tcPr>
            <w:tcW w:w="2756" w:type="dxa"/>
            <w:gridSpan w:val="2"/>
            <w:shd w:val="clear" w:color="auto" w:fill="auto"/>
            <w:vAlign w:val="center"/>
          </w:tcPr>
          <w:p w14:paraId="5E162BFD" w14:textId="415ECE73" w:rsidR="0098327B" w:rsidRPr="00833355" w:rsidRDefault="0098327B" w:rsidP="0098327B">
            <w:pPr>
              <w:jc w:val="center"/>
              <w:rPr>
                <w:b/>
                <w:bCs/>
                <w:sz w:val="16"/>
                <w:szCs w:val="16"/>
              </w:rPr>
            </w:pPr>
            <w:r w:rsidRPr="00833355">
              <w:rPr>
                <w:b/>
                <w:bCs/>
                <w:sz w:val="16"/>
                <w:szCs w:val="16"/>
              </w:rPr>
              <w:t>Summary risk index =</w:t>
            </w:r>
          </w:p>
        </w:tc>
        <w:tc>
          <w:tcPr>
            <w:tcW w:w="1745" w:type="dxa"/>
            <w:shd w:val="clear" w:color="auto" w:fill="auto"/>
            <w:vAlign w:val="center"/>
          </w:tcPr>
          <w:p w14:paraId="13A28332" w14:textId="77777777" w:rsidR="0098327B" w:rsidRDefault="0098327B"/>
        </w:tc>
      </w:tr>
    </w:tbl>
    <w:p w14:paraId="5B2DA766" w14:textId="77777777" w:rsidR="00570480" w:rsidRDefault="00570480">
      <w:pPr>
        <w:sectPr w:rsidR="00570480" w:rsidSect="0098327B">
          <w:pgSz w:w="11906" w:h="16838"/>
          <w:pgMar w:top="680" w:right="850" w:bottom="850" w:left="850" w:header="720" w:footer="720" w:gutter="0"/>
          <w:cols w:space="720"/>
          <w:docGrid w:linePitch="360"/>
        </w:sectPr>
      </w:pPr>
    </w:p>
    <w:p w14:paraId="017BC85A" w14:textId="26BE14BC" w:rsidR="00570480" w:rsidRPr="0098327B" w:rsidRDefault="00000000">
      <w:pPr>
        <w:spacing w:after="0" w:line="252" w:lineRule="auto"/>
        <w:jc w:val="right"/>
        <w:rPr>
          <w:sz w:val="20"/>
          <w:szCs w:val="20"/>
        </w:rPr>
      </w:pPr>
      <w:r w:rsidRPr="0098327B">
        <w:rPr>
          <w:sz w:val="20"/>
          <w:szCs w:val="20"/>
        </w:rPr>
        <w:lastRenderedPageBreak/>
        <w:t xml:space="preserve">Appendix </w:t>
      </w:r>
      <w:r w:rsidR="0098327B">
        <w:rPr>
          <w:sz w:val="20"/>
          <w:szCs w:val="20"/>
          <w:lang w:val="ru-RU"/>
        </w:rPr>
        <w:t>№</w:t>
      </w:r>
      <w:r w:rsidRPr="0098327B">
        <w:rPr>
          <w:sz w:val="20"/>
          <w:szCs w:val="20"/>
        </w:rPr>
        <w:t xml:space="preserve"> 2</w:t>
      </w:r>
    </w:p>
    <w:p w14:paraId="04C1E570" w14:textId="36E7A8A6" w:rsidR="00570480" w:rsidRPr="0098327B" w:rsidRDefault="00000000">
      <w:pPr>
        <w:spacing w:after="0" w:line="252" w:lineRule="auto"/>
        <w:jc w:val="right"/>
        <w:rPr>
          <w:sz w:val="20"/>
          <w:szCs w:val="20"/>
        </w:rPr>
      </w:pPr>
      <w:r w:rsidRPr="0098327B">
        <w:rPr>
          <w:sz w:val="20"/>
          <w:szCs w:val="20"/>
        </w:rPr>
        <w:t xml:space="preserve">to the Regulation “On the </w:t>
      </w:r>
      <w:r w:rsidR="00B52549">
        <w:rPr>
          <w:sz w:val="20"/>
          <w:szCs w:val="20"/>
        </w:rPr>
        <w:t>a</w:t>
      </w:r>
      <w:r w:rsidRPr="0098327B">
        <w:rPr>
          <w:sz w:val="20"/>
          <w:szCs w:val="20"/>
        </w:rPr>
        <w:t xml:space="preserve">ssessment of </w:t>
      </w:r>
      <w:r w:rsidR="00B52549">
        <w:rPr>
          <w:sz w:val="20"/>
          <w:szCs w:val="20"/>
        </w:rPr>
        <w:t>c</w:t>
      </w:r>
      <w:r w:rsidRPr="0098327B">
        <w:rPr>
          <w:sz w:val="20"/>
          <w:szCs w:val="20"/>
        </w:rPr>
        <w:t xml:space="preserve">orruption </w:t>
      </w:r>
      <w:r w:rsidR="00B52549">
        <w:rPr>
          <w:sz w:val="20"/>
          <w:szCs w:val="20"/>
        </w:rPr>
        <w:t>r</w:t>
      </w:r>
      <w:r w:rsidRPr="0098327B">
        <w:rPr>
          <w:sz w:val="20"/>
          <w:szCs w:val="20"/>
        </w:rPr>
        <w:t>isks of JSC RSE “Toshkent”.</w:t>
      </w:r>
    </w:p>
    <w:p w14:paraId="1D8BAAC5" w14:textId="49F10423" w:rsidR="00570480" w:rsidRDefault="00570480">
      <w:pPr>
        <w:spacing w:before="160" w:after="120"/>
        <w:jc w:val="center"/>
      </w:pPr>
    </w:p>
    <w:tbl>
      <w:tblPr>
        <w:tblStyle w:val="aff0"/>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411"/>
        <w:gridCol w:w="7441"/>
      </w:tblGrid>
      <w:tr w:rsidR="0098327B" w14:paraId="31F9AD34" w14:textId="77777777" w:rsidTr="0098327B">
        <w:trPr>
          <w:trHeight w:val="608"/>
          <w:jc w:val="center"/>
        </w:trPr>
        <w:tc>
          <w:tcPr>
            <w:tcW w:w="9852" w:type="dxa"/>
            <w:gridSpan w:val="2"/>
            <w:shd w:val="clear" w:color="auto" w:fill="auto"/>
            <w:vAlign w:val="center"/>
          </w:tcPr>
          <w:p w14:paraId="55E7A033" w14:textId="79BFCA78" w:rsidR="0098327B" w:rsidRDefault="0098327B">
            <w:pPr>
              <w:jc w:val="center"/>
              <w:rPr>
                <w:b/>
                <w:sz w:val="20"/>
              </w:rPr>
            </w:pPr>
            <w:r>
              <w:rPr>
                <w:b/>
              </w:rPr>
              <w:t>List of departments and/or employees having risks “above low”</w:t>
            </w:r>
          </w:p>
        </w:tc>
      </w:tr>
      <w:tr w:rsidR="00570480" w14:paraId="6997F48D" w14:textId="77777777" w:rsidTr="0098327B">
        <w:trPr>
          <w:jc w:val="center"/>
        </w:trPr>
        <w:tc>
          <w:tcPr>
            <w:tcW w:w="2411" w:type="dxa"/>
            <w:shd w:val="clear" w:color="auto" w:fill="auto"/>
            <w:vAlign w:val="center"/>
          </w:tcPr>
          <w:p w14:paraId="12230591" w14:textId="14309FE2" w:rsidR="00570480" w:rsidRPr="00833355" w:rsidRDefault="0098327B">
            <w:pPr>
              <w:jc w:val="center"/>
              <w:rPr>
                <w:b/>
                <w:bCs/>
              </w:rPr>
            </w:pPr>
            <w:r w:rsidRPr="00833355">
              <w:rPr>
                <w:b/>
                <w:bCs/>
                <w:lang w:val="ru-RU"/>
              </w:rPr>
              <w:t>№</w:t>
            </w:r>
          </w:p>
        </w:tc>
        <w:tc>
          <w:tcPr>
            <w:tcW w:w="7441" w:type="dxa"/>
            <w:shd w:val="clear" w:color="auto" w:fill="auto"/>
            <w:vAlign w:val="center"/>
          </w:tcPr>
          <w:p w14:paraId="6499567D" w14:textId="7623B8E2" w:rsidR="00570480" w:rsidRPr="00833355" w:rsidRDefault="00000000">
            <w:pPr>
              <w:jc w:val="center"/>
              <w:rPr>
                <w:b/>
                <w:bCs/>
              </w:rPr>
            </w:pPr>
            <w:r w:rsidRPr="00833355">
              <w:rPr>
                <w:b/>
                <w:bCs/>
                <w:sz w:val="20"/>
              </w:rPr>
              <w:t xml:space="preserve">Department and/or </w:t>
            </w:r>
            <w:r w:rsidR="0098327B" w:rsidRPr="00833355">
              <w:rPr>
                <w:b/>
                <w:bCs/>
                <w:sz w:val="20"/>
              </w:rPr>
              <w:t>e</w:t>
            </w:r>
            <w:r w:rsidRPr="00833355">
              <w:rPr>
                <w:b/>
                <w:bCs/>
                <w:sz w:val="20"/>
              </w:rPr>
              <w:t>mployee</w:t>
            </w:r>
          </w:p>
        </w:tc>
      </w:tr>
      <w:tr w:rsidR="00570480" w14:paraId="63CC6908" w14:textId="77777777" w:rsidTr="0098327B">
        <w:trPr>
          <w:jc w:val="center"/>
        </w:trPr>
        <w:tc>
          <w:tcPr>
            <w:tcW w:w="2411" w:type="dxa"/>
            <w:shd w:val="clear" w:color="auto" w:fill="auto"/>
            <w:vAlign w:val="center"/>
          </w:tcPr>
          <w:p w14:paraId="058DC667" w14:textId="28726F54" w:rsidR="00570480" w:rsidRDefault="00570480">
            <w:pPr>
              <w:jc w:val="center"/>
            </w:pPr>
          </w:p>
        </w:tc>
        <w:tc>
          <w:tcPr>
            <w:tcW w:w="7441" w:type="dxa"/>
            <w:shd w:val="clear" w:color="auto" w:fill="auto"/>
            <w:vAlign w:val="center"/>
          </w:tcPr>
          <w:p w14:paraId="2B011697" w14:textId="77777777" w:rsidR="00570480" w:rsidRDefault="00570480"/>
        </w:tc>
      </w:tr>
      <w:tr w:rsidR="0098327B" w14:paraId="67C968DB" w14:textId="77777777" w:rsidTr="0098327B">
        <w:trPr>
          <w:jc w:val="center"/>
        </w:trPr>
        <w:tc>
          <w:tcPr>
            <w:tcW w:w="2411" w:type="dxa"/>
            <w:shd w:val="clear" w:color="auto" w:fill="auto"/>
            <w:vAlign w:val="center"/>
          </w:tcPr>
          <w:p w14:paraId="284B96BC" w14:textId="77777777" w:rsidR="0098327B" w:rsidRDefault="0098327B" w:rsidP="00E471C2">
            <w:pPr>
              <w:jc w:val="center"/>
            </w:pPr>
          </w:p>
        </w:tc>
        <w:tc>
          <w:tcPr>
            <w:tcW w:w="7441" w:type="dxa"/>
            <w:shd w:val="clear" w:color="auto" w:fill="auto"/>
            <w:vAlign w:val="center"/>
          </w:tcPr>
          <w:p w14:paraId="76E26F01" w14:textId="77777777" w:rsidR="0098327B" w:rsidRDefault="0098327B" w:rsidP="00E471C2"/>
        </w:tc>
      </w:tr>
      <w:tr w:rsidR="0098327B" w14:paraId="631F0637" w14:textId="77777777" w:rsidTr="0098327B">
        <w:trPr>
          <w:jc w:val="center"/>
        </w:trPr>
        <w:tc>
          <w:tcPr>
            <w:tcW w:w="2411" w:type="dxa"/>
            <w:shd w:val="clear" w:color="auto" w:fill="auto"/>
            <w:vAlign w:val="center"/>
          </w:tcPr>
          <w:p w14:paraId="34C87E30" w14:textId="77777777" w:rsidR="0098327B" w:rsidRDefault="0098327B" w:rsidP="00E471C2">
            <w:pPr>
              <w:jc w:val="center"/>
            </w:pPr>
          </w:p>
        </w:tc>
        <w:tc>
          <w:tcPr>
            <w:tcW w:w="7441" w:type="dxa"/>
            <w:shd w:val="clear" w:color="auto" w:fill="auto"/>
            <w:vAlign w:val="center"/>
          </w:tcPr>
          <w:p w14:paraId="0A9DCF1B" w14:textId="77777777" w:rsidR="0098327B" w:rsidRDefault="0098327B" w:rsidP="00E471C2"/>
        </w:tc>
      </w:tr>
      <w:tr w:rsidR="0098327B" w14:paraId="4C843F9F" w14:textId="77777777" w:rsidTr="0098327B">
        <w:trPr>
          <w:jc w:val="center"/>
        </w:trPr>
        <w:tc>
          <w:tcPr>
            <w:tcW w:w="2411" w:type="dxa"/>
            <w:shd w:val="clear" w:color="auto" w:fill="auto"/>
            <w:vAlign w:val="center"/>
          </w:tcPr>
          <w:p w14:paraId="31E45AE1" w14:textId="77777777" w:rsidR="0098327B" w:rsidRDefault="0098327B">
            <w:pPr>
              <w:jc w:val="center"/>
            </w:pPr>
          </w:p>
        </w:tc>
        <w:tc>
          <w:tcPr>
            <w:tcW w:w="7441" w:type="dxa"/>
            <w:shd w:val="clear" w:color="auto" w:fill="auto"/>
            <w:vAlign w:val="center"/>
          </w:tcPr>
          <w:p w14:paraId="207F3E42" w14:textId="77777777" w:rsidR="0098327B" w:rsidRDefault="0098327B"/>
        </w:tc>
      </w:tr>
    </w:tbl>
    <w:p w14:paraId="33E6515E" w14:textId="77777777" w:rsidR="00570480" w:rsidRDefault="00570480">
      <w:pPr>
        <w:sectPr w:rsidR="00570480">
          <w:pgSz w:w="11906" w:h="16838"/>
          <w:pgMar w:top="1134" w:right="850" w:bottom="1134" w:left="1417" w:header="720" w:footer="720" w:gutter="0"/>
          <w:cols w:space="720"/>
          <w:docGrid w:linePitch="360"/>
        </w:sectPr>
      </w:pPr>
    </w:p>
    <w:p w14:paraId="25CC477C" w14:textId="163323B3" w:rsidR="00570480" w:rsidRDefault="00000000">
      <w:pPr>
        <w:spacing w:after="0" w:line="252" w:lineRule="auto"/>
        <w:jc w:val="right"/>
      </w:pPr>
      <w:r>
        <w:lastRenderedPageBreak/>
        <w:t xml:space="preserve">Appendix </w:t>
      </w:r>
      <w:r w:rsidR="0098327B">
        <w:rPr>
          <w:lang w:val="ru-RU"/>
        </w:rPr>
        <w:t>№</w:t>
      </w:r>
      <w:r>
        <w:t xml:space="preserve"> 3</w:t>
      </w:r>
    </w:p>
    <w:p w14:paraId="28DF2CB3" w14:textId="19E1FDAE" w:rsidR="00570480" w:rsidRDefault="00000000" w:rsidP="0098327B">
      <w:pPr>
        <w:spacing w:before="160" w:after="0"/>
        <w:jc w:val="center"/>
      </w:pPr>
      <w:r>
        <w:rPr>
          <w:b/>
        </w:rPr>
        <w:t xml:space="preserve">Corruption </w:t>
      </w:r>
      <w:r w:rsidR="0098327B">
        <w:rPr>
          <w:b/>
        </w:rPr>
        <w:t>r</w:t>
      </w:r>
      <w:r>
        <w:rPr>
          <w:b/>
        </w:rPr>
        <w:t xml:space="preserve">isk </w:t>
      </w:r>
      <w:r w:rsidR="0098327B">
        <w:rPr>
          <w:b/>
        </w:rPr>
        <w:t>a</w:t>
      </w:r>
      <w:r>
        <w:rPr>
          <w:b/>
        </w:rPr>
        <w:t>ssessment</w:t>
      </w:r>
    </w:p>
    <w:p w14:paraId="14C2A1E7" w14:textId="77777777" w:rsidR="00570480" w:rsidRDefault="00000000" w:rsidP="0098327B">
      <w:pPr>
        <w:spacing w:after="0" w:line="252" w:lineRule="auto"/>
        <w:jc w:val="center"/>
        <w:rPr>
          <w:b/>
        </w:rPr>
      </w:pPr>
      <w:r>
        <w:rPr>
          <w:b/>
        </w:rPr>
        <w:t>CRITERIA</w:t>
      </w:r>
    </w:p>
    <w:p w14:paraId="2FB6C417" w14:textId="77777777" w:rsidR="0098327B" w:rsidRDefault="0098327B">
      <w:pPr>
        <w:spacing w:after="0" w:line="252" w:lineRule="auto"/>
        <w:jc w:val="center"/>
      </w:pPr>
    </w:p>
    <w:tbl>
      <w:tblPr>
        <w:tblStyle w:val="aff0"/>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977"/>
        <w:gridCol w:w="7229"/>
      </w:tblGrid>
      <w:tr w:rsidR="00570480" w:rsidRPr="0098327B" w14:paraId="3628D514" w14:textId="77777777" w:rsidTr="00833355">
        <w:trPr>
          <w:trHeight w:val="940"/>
          <w:tblHeader/>
          <w:jc w:val="center"/>
        </w:trPr>
        <w:tc>
          <w:tcPr>
            <w:tcW w:w="2977" w:type="dxa"/>
            <w:shd w:val="clear" w:color="auto" w:fill="D9D9D9" w:themeFill="background1" w:themeFillShade="D9"/>
          </w:tcPr>
          <w:p w14:paraId="09C9CA5A" w14:textId="42E853F9" w:rsidR="00570480" w:rsidRPr="00833355" w:rsidRDefault="00000000" w:rsidP="00833355">
            <w:pPr>
              <w:jc w:val="center"/>
              <w:rPr>
                <w:szCs w:val="24"/>
              </w:rPr>
            </w:pPr>
            <w:r w:rsidRPr="0098327B">
              <w:rPr>
                <w:b/>
                <w:szCs w:val="24"/>
              </w:rPr>
              <w:t xml:space="preserve">Level of </w:t>
            </w:r>
            <w:r w:rsidR="0098327B" w:rsidRPr="0098327B">
              <w:rPr>
                <w:b/>
                <w:szCs w:val="24"/>
              </w:rPr>
              <w:t>c</w:t>
            </w:r>
            <w:r w:rsidRPr="0098327B">
              <w:rPr>
                <w:b/>
                <w:szCs w:val="24"/>
              </w:rPr>
              <w:t xml:space="preserve">orruption </w:t>
            </w:r>
            <w:r w:rsidR="0098327B" w:rsidRPr="0098327B">
              <w:rPr>
                <w:b/>
                <w:szCs w:val="24"/>
              </w:rPr>
              <w:t>r</w:t>
            </w:r>
            <w:r w:rsidRPr="0098327B">
              <w:rPr>
                <w:b/>
                <w:szCs w:val="24"/>
              </w:rPr>
              <w:t>isks</w:t>
            </w:r>
            <w:r w:rsidR="00833355" w:rsidRPr="00833355">
              <w:rPr>
                <w:b/>
                <w:szCs w:val="24"/>
              </w:rPr>
              <w:t xml:space="preserve"> </w:t>
            </w:r>
            <w:r w:rsidR="00833355" w:rsidRPr="0098327B">
              <w:rPr>
                <w:b/>
                <w:szCs w:val="24"/>
              </w:rPr>
              <w:t>Criteria</w:t>
            </w:r>
          </w:p>
        </w:tc>
        <w:tc>
          <w:tcPr>
            <w:tcW w:w="7229" w:type="dxa"/>
            <w:shd w:val="clear" w:color="auto" w:fill="D9D9D9" w:themeFill="background1" w:themeFillShade="D9"/>
          </w:tcPr>
          <w:p w14:paraId="1D649159" w14:textId="77777777" w:rsidR="00570480" w:rsidRPr="0098327B" w:rsidRDefault="00000000" w:rsidP="00833355">
            <w:pPr>
              <w:jc w:val="center"/>
              <w:rPr>
                <w:szCs w:val="24"/>
              </w:rPr>
            </w:pPr>
            <w:r w:rsidRPr="0098327B">
              <w:rPr>
                <w:b/>
                <w:szCs w:val="24"/>
              </w:rPr>
              <w:t>Criteria</w:t>
            </w:r>
          </w:p>
        </w:tc>
      </w:tr>
      <w:tr w:rsidR="00570480" w:rsidRPr="0098327B" w14:paraId="6978EACD" w14:textId="77777777" w:rsidTr="0098327B">
        <w:trPr>
          <w:jc w:val="center"/>
        </w:trPr>
        <w:tc>
          <w:tcPr>
            <w:tcW w:w="2977" w:type="dxa"/>
            <w:shd w:val="clear" w:color="auto" w:fill="FF0000"/>
            <w:vAlign w:val="center"/>
          </w:tcPr>
          <w:p w14:paraId="5783409F" w14:textId="77777777" w:rsidR="00570480" w:rsidRPr="0098327B" w:rsidRDefault="00000000">
            <w:pPr>
              <w:jc w:val="center"/>
              <w:rPr>
                <w:szCs w:val="24"/>
              </w:rPr>
            </w:pPr>
            <w:r w:rsidRPr="0098327B">
              <w:rPr>
                <w:b/>
                <w:szCs w:val="24"/>
              </w:rPr>
              <w:t>High</w:t>
            </w:r>
          </w:p>
        </w:tc>
        <w:tc>
          <w:tcPr>
            <w:tcW w:w="7229" w:type="dxa"/>
          </w:tcPr>
          <w:p w14:paraId="48D6178F" w14:textId="77777777" w:rsidR="00570480" w:rsidRPr="00833355" w:rsidRDefault="00000000" w:rsidP="0098327B">
            <w:pPr>
              <w:ind w:left="53" w:right="166" w:firstLine="142"/>
              <w:jc w:val="both"/>
              <w:rPr>
                <w:rFonts w:eastAsiaTheme="minorHAnsi" w:cs="Times New Roman"/>
                <w:szCs w:val="24"/>
              </w:rPr>
            </w:pPr>
            <w:r w:rsidRPr="00833355">
              <w:rPr>
                <w:rFonts w:eastAsiaTheme="minorHAnsi" w:cs="Times New Roman"/>
                <w:szCs w:val="24"/>
              </w:rPr>
              <w:t>- the activities (tasks and functions) of the Exchange are not automated;</w:t>
            </w:r>
          </w:p>
          <w:p w14:paraId="5852B7C4" w14:textId="77777777" w:rsidR="00570480" w:rsidRPr="00833355" w:rsidRDefault="00000000" w:rsidP="0098327B">
            <w:pPr>
              <w:ind w:left="53" w:right="166" w:firstLine="142"/>
              <w:jc w:val="both"/>
              <w:rPr>
                <w:rFonts w:eastAsiaTheme="minorHAnsi" w:cs="Times New Roman"/>
                <w:szCs w:val="24"/>
              </w:rPr>
            </w:pPr>
            <w:r w:rsidRPr="00833355">
              <w:rPr>
                <w:rFonts w:eastAsiaTheme="minorHAnsi" w:cs="Times New Roman"/>
                <w:szCs w:val="24"/>
              </w:rPr>
              <w:t>- the activities (tasks and functions) of the Exchange are not regulated;</w:t>
            </w:r>
          </w:p>
          <w:p w14:paraId="7860CCD7" w14:textId="77777777" w:rsidR="00570480" w:rsidRPr="00833355" w:rsidRDefault="00000000" w:rsidP="0098327B">
            <w:pPr>
              <w:ind w:left="53" w:right="166" w:firstLine="142"/>
              <w:jc w:val="both"/>
              <w:rPr>
                <w:rFonts w:eastAsiaTheme="minorHAnsi" w:cs="Times New Roman"/>
                <w:szCs w:val="24"/>
              </w:rPr>
            </w:pPr>
            <w:r w:rsidRPr="00833355">
              <w:rPr>
                <w:rFonts w:eastAsiaTheme="minorHAnsi" w:cs="Times New Roman"/>
                <w:szCs w:val="24"/>
              </w:rPr>
              <w:t>- there is a possibility of direct contact with individuals and/or legal entities at the workplace in an uncontrolled manner;</w:t>
            </w:r>
          </w:p>
          <w:p w14:paraId="349F50DD" w14:textId="77777777" w:rsidR="00570480" w:rsidRPr="00833355" w:rsidRDefault="00000000" w:rsidP="0098327B">
            <w:pPr>
              <w:ind w:left="53" w:right="166" w:firstLine="142"/>
              <w:jc w:val="both"/>
              <w:rPr>
                <w:rFonts w:eastAsiaTheme="minorHAnsi" w:cs="Times New Roman"/>
                <w:szCs w:val="24"/>
              </w:rPr>
            </w:pPr>
            <w:r w:rsidRPr="00833355">
              <w:rPr>
                <w:rFonts w:eastAsiaTheme="minorHAnsi" w:cs="Times New Roman"/>
                <w:szCs w:val="24"/>
              </w:rPr>
              <w:t>- one person participates in the preparation, review and adoption of a draft decision within the activities (tasks and functions) of the Exchange;</w:t>
            </w:r>
          </w:p>
          <w:p w14:paraId="5EEDF265" w14:textId="77777777" w:rsidR="00570480" w:rsidRPr="00833355" w:rsidRDefault="00000000" w:rsidP="0098327B">
            <w:pPr>
              <w:ind w:left="53" w:right="166" w:firstLine="142"/>
              <w:jc w:val="both"/>
              <w:rPr>
                <w:szCs w:val="24"/>
              </w:rPr>
            </w:pPr>
            <w:r w:rsidRPr="00833355">
              <w:rPr>
                <w:rFonts w:eastAsiaTheme="minorHAnsi" w:cs="Times New Roman"/>
                <w:szCs w:val="24"/>
              </w:rPr>
              <w:t>- a corruption act has been committed in the performance of the activities (duties and functions) of the Exchange (commission of the crime has been confirmed by a court).</w:t>
            </w:r>
          </w:p>
        </w:tc>
      </w:tr>
      <w:tr w:rsidR="00570480" w:rsidRPr="0098327B" w14:paraId="4F8DAA6E" w14:textId="77777777" w:rsidTr="0098327B">
        <w:trPr>
          <w:jc w:val="center"/>
        </w:trPr>
        <w:tc>
          <w:tcPr>
            <w:tcW w:w="2977" w:type="dxa"/>
            <w:shd w:val="clear" w:color="auto" w:fill="FFC000"/>
            <w:vAlign w:val="center"/>
          </w:tcPr>
          <w:p w14:paraId="5ED499B4" w14:textId="77777777" w:rsidR="00570480" w:rsidRPr="0098327B" w:rsidRDefault="00000000">
            <w:pPr>
              <w:jc w:val="center"/>
              <w:rPr>
                <w:szCs w:val="24"/>
              </w:rPr>
            </w:pPr>
            <w:r w:rsidRPr="0098327B">
              <w:rPr>
                <w:b/>
                <w:szCs w:val="24"/>
              </w:rPr>
              <w:t>Medium</w:t>
            </w:r>
          </w:p>
        </w:tc>
        <w:tc>
          <w:tcPr>
            <w:tcW w:w="7229" w:type="dxa"/>
          </w:tcPr>
          <w:p w14:paraId="77B9D7D0" w14:textId="77777777" w:rsidR="00570480" w:rsidRPr="00833355" w:rsidRDefault="00000000" w:rsidP="0098327B">
            <w:pPr>
              <w:ind w:left="53" w:right="166" w:firstLine="142"/>
              <w:jc w:val="both"/>
              <w:rPr>
                <w:rFonts w:eastAsiaTheme="minorHAnsi" w:cs="Times New Roman"/>
                <w:szCs w:val="24"/>
              </w:rPr>
            </w:pPr>
            <w:r w:rsidRPr="00833355">
              <w:rPr>
                <w:rFonts w:eastAsiaTheme="minorHAnsi" w:cs="Times New Roman"/>
                <w:szCs w:val="24"/>
              </w:rPr>
              <w:t>- the activities (tasks and functions) of the Exchange are partially automated;</w:t>
            </w:r>
          </w:p>
          <w:p w14:paraId="2F992FC3" w14:textId="77777777" w:rsidR="00570480" w:rsidRPr="00833355" w:rsidRDefault="00000000" w:rsidP="0098327B">
            <w:pPr>
              <w:ind w:left="53" w:right="166" w:firstLine="142"/>
              <w:jc w:val="both"/>
              <w:rPr>
                <w:rFonts w:eastAsiaTheme="minorHAnsi" w:cs="Times New Roman"/>
                <w:szCs w:val="24"/>
              </w:rPr>
            </w:pPr>
            <w:r w:rsidRPr="00833355">
              <w:rPr>
                <w:rFonts w:eastAsiaTheme="minorHAnsi" w:cs="Times New Roman"/>
                <w:szCs w:val="24"/>
              </w:rPr>
              <w:t>- the activities (tasks and functions) of the Exchange are partially regulated;</w:t>
            </w:r>
          </w:p>
          <w:p w14:paraId="22CA2695" w14:textId="77777777" w:rsidR="00570480" w:rsidRPr="00833355" w:rsidRDefault="00000000" w:rsidP="0098327B">
            <w:pPr>
              <w:ind w:left="53" w:right="166" w:firstLine="142"/>
              <w:jc w:val="both"/>
              <w:rPr>
                <w:rFonts w:eastAsiaTheme="minorHAnsi" w:cs="Times New Roman"/>
                <w:szCs w:val="24"/>
              </w:rPr>
            </w:pPr>
            <w:r w:rsidRPr="00833355">
              <w:rPr>
                <w:rFonts w:eastAsiaTheme="minorHAnsi" w:cs="Times New Roman"/>
                <w:szCs w:val="24"/>
              </w:rPr>
              <w:t>- there is a possibility of direct contact with individuals or legal entities at the workplace during the control process;</w:t>
            </w:r>
          </w:p>
          <w:p w14:paraId="4036D455" w14:textId="77777777" w:rsidR="00570480" w:rsidRPr="00833355" w:rsidRDefault="00000000" w:rsidP="0098327B">
            <w:pPr>
              <w:ind w:left="53" w:right="166" w:firstLine="142"/>
              <w:jc w:val="both"/>
              <w:rPr>
                <w:rFonts w:eastAsiaTheme="minorHAnsi" w:cs="Times New Roman"/>
                <w:szCs w:val="24"/>
              </w:rPr>
            </w:pPr>
            <w:r w:rsidRPr="00833355">
              <w:rPr>
                <w:rFonts w:eastAsiaTheme="minorHAnsi" w:cs="Times New Roman"/>
                <w:szCs w:val="24"/>
              </w:rPr>
              <w:t>- two persons participate in the preparation, review and adoption of a draft decision within the activities (tasks and functions) of the Exchange;</w:t>
            </w:r>
          </w:p>
          <w:p w14:paraId="127C8F2F" w14:textId="77777777" w:rsidR="00570480" w:rsidRPr="00833355" w:rsidRDefault="00000000" w:rsidP="0098327B">
            <w:pPr>
              <w:ind w:left="53" w:right="166" w:firstLine="142"/>
              <w:jc w:val="both"/>
              <w:rPr>
                <w:rFonts w:eastAsiaTheme="minorHAnsi" w:cs="Times New Roman"/>
                <w:szCs w:val="24"/>
              </w:rPr>
            </w:pPr>
            <w:r w:rsidRPr="00833355">
              <w:rPr>
                <w:rFonts w:eastAsiaTheme="minorHAnsi" w:cs="Times New Roman"/>
                <w:szCs w:val="24"/>
              </w:rPr>
              <w:t>- there is information on the commission of a corruption act in the performance of the activities (tasks and functions) of the Exchange (commission of the crime has not been confirmed by a court).</w:t>
            </w:r>
          </w:p>
        </w:tc>
      </w:tr>
      <w:tr w:rsidR="00570480" w:rsidRPr="0098327B" w14:paraId="46821F62" w14:textId="77777777" w:rsidTr="0098327B">
        <w:trPr>
          <w:trHeight w:val="2370"/>
          <w:jc w:val="center"/>
        </w:trPr>
        <w:tc>
          <w:tcPr>
            <w:tcW w:w="2977" w:type="dxa"/>
            <w:shd w:val="clear" w:color="auto" w:fill="92D050"/>
            <w:vAlign w:val="center"/>
          </w:tcPr>
          <w:p w14:paraId="08D02C2F" w14:textId="77777777" w:rsidR="00570480" w:rsidRPr="0098327B" w:rsidRDefault="00000000">
            <w:pPr>
              <w:jc w:val="center"/>
              <w:rPr>
                <w:szCs w:val="24"/>
              </w:rPr>
            </w:pPr>
            <w:r w:rsidRPr="0098327B">
              <w:rPr>
                <w:b/>
                <w:szCs w:val="24"/>
              </w:rPr>
              <w:t>Low</w:t>
            </w:r>
          </w:p>
        </w:tc>
        <w:tc>
          <w:tcPr>
            <w:tcW w:w="7229" w:type="dxa"/>
          </w:tcPr>
          <w:p w14:paraId="508D1817" w14:textId="77777777" w:rsidR="00570480" w:rsidRPr="004C51D0" w:rsidRDefault="00000000" w:rsidP="0098327B">
            <w:pPr>
              <w:ind w:left="53" w:right="166" w:firstLine="142"/>
              <w:jc w:val="both"/>
              <w:rPr>
                <w:rFonts w:eastAsiaTheme="minorHAnsi" w:cs="Times New Roman"/>
                <w:szCs w:val="24"/>
              </w:rPr>
            </w:pPr>
            <w:r w:rsidRPr="004C51D0">
              <w:rPr>
                <w:rFonts w:eastAsiaTheme="minorHAnsi" w:cs="Times New Roman"/>
                <w:szCs w:val="24"/>
              </w:rPr>
              <w:t>- the activities (tasks and functions) of the Exchange are automated;</w:t>
            </w:r>
          </w:p>
          <w:p w14:paraId="4FE211C2" w14:textId="77777777" w:rsidR="00570480" w:rsidRPr="004C51D0" w:rsidRDefault="00000000" w:rsidP="0098327B">
            <w:pPr>
              <w:ind w:left="53" w:right="166" w:firstLine="142"/>
              <w:jc w:val="both"/>
              <w:rPr>
                <w:rFonts w:eastAsiaTheme="minorHAnsi" w:cs="Times New Roman"/>
                <w:szCs w:val="24"/>
              </w:rPr>
            </w:pPr>
            <w:r w:rsidRPr="004C51D0">
              <w:rPr>
                <w:rFonts w:eastAsiaTheme="minorHAnsi" w:cs="Times New Roman"/>
                <w:szCs w:val="24"/>
              </w:rPr>
              <w:t>- the activities (tasks and functions) of the Exchange are regulated;</w:t>
            </w:r>
          </w:p>
          <w:p w14:paraId="2ED00C6E" w14:textId="77777777" w:rsidR="00570480" w:rsidRPr="004C51D0" w:rsidRDefault="00000000" w:rsidP="0098327B">
            <w:pPr>
              <w:ind w:left="53" w:right="166" w:firstLine="142"/>
              <w:jc w:val="both"/>
              <w:rPr>
                <w:rFonts w:eastAsiaTheme="minorHAnsi" w:cs="Times New Roman"/>
                <w:szCs w:val="24"/>
              </w:rPr>
            </w:pPr>
            <w:r w:rsidRPr="004C51D0">
              <w:rPr>
                <w:rFonts w:eastAsiaTheme="minorHAnsi" w:cs="Times New Roman"/>
                <w:szCs w:val="24"/>
              </w:rPr>
              <w:t>- there is no possibility of direct contact with individuals and/or legal entities;</w:t>
            </w:r>
          </w:p>
          <w:p w14:paraId="7E79A057" w14:textId="77777777" w:rsidR="00570480" w:rsidRPr="004C51D0" w:rsidRDefault="00000000" w:rsidP="0098327B">
            <w:pPr>
              <w:ind w:left="53" w:right="166" w:firstLine="142"/>
              <w:jc w:val="both"/>
              <w:rPr>
                <w:rFonts w:eastAsiaTheme="minorHAnsi" w:cs="Times New Roman"/>
                <w:szCs w:val="24"/>
              </w:rPr>
            </w:pPr>
            <w:r w:rsidRPr="004C51D0">
              <w:rPr>
                <w:rFonts w:eastAsiaTheme="minorHAnsi" w:cs="Times New Roman"/>
                <w:szCs w:val="24"/>
              </w:rPr>
              <w:t>- three or more persons participate in the preparation, review and adoption of a draft decision within the activities (tasks and functions) of the Exchange;</w:t>
            </w:r>
          </w:p>
          <w:p w14:paraId="1B091548" w14:textId="77777777" w:rsidR="00570480" w:rsidRPr="004C51D0" w:rsidRDefault="00000000" w:rsidP="0098327B">
            <w:pPr>
              <w:ind w:left="53" w:right="166" w:firstLine="142"/>
              <w:jc w:val="both"/>
              <w:rPr>
                <w:rFonts w:eastAsiaTheme="minorHAnsi" w:cs="Times New Roman"/>
                <w:szCs w:val="24"/>
              </w:rPr>
            </w:pPr>
            <w:r w:rsidRPr="004C51D0">
              <w:rPr>
                <w:rFonts w:eastAsiaTheme="minorHAnsi" w:cs="Times New Roman"/>
                <w:szCs w:val="24"/>
              </w:rPr>
              <w:t>- corruption conduct and information on the commission of corruption conduct are absent.</w:t>
            </w:r>
          </w:p>
        </w:tc>
      </w:tr>
    </w:tbl>
    <w:p w14:paraId="08FABD3C" w14:textId="77777777" w:rsidR="00570480" w:rsidRPr="0098327B" w:rsidRDefault="00000000" w:rsidP="0098327B">
      <w:pPr>
        <w:spacing w:before="240" w:after="0" w:line="240" w:lineRule="auto"/>
        <w:ind w:right="283" w:firstLine="720"/>
        <w:jc w:val="both"/>
        <w:rPr>
          <w:rFonts w:eastAsiaTheme="minorHAnsi" w:cs="Times New Roman"/>
          <w:i/>
          <w:iCs/>
          <w:sz w:val="20"/>
          <w:szCs w:val="20"/>
          <w:lang w:val="uz-Cyrl-UZ"/>
        </w:rPr>
      </w:pPr>
      <w:r w:rsidRPr="0098327B">
        <w:rPr>
          <w:rFonts w:eastAsiaTheme="minorHAnsi" w:cs="Times New Roman"/>
          <w:i/>
          <w:iCs/>
          <w:sz w:val="20"/>
          <w:szCs w:val="20"/>
          <w:lang w:val="uz-Cyrl-UZ"/>
        </w:rPr>
        <w:t>* The assessment of risk determined by the Working Group as high or medium in the activities (task and function) of the Exchange is carried out in agreement with the Chairman of the Management Board.</w:t>
      </w:r>
    </w:p>
    <w:p w14:paraId="163A56FB" w14:textId="77777777" w:rsidR="00570480" w:rsidRPr="0098327B" w:rsidRDefault="00000000" w:rsidP="0098327B">
      <w:pPr>
        <w:spacing w:after="0" w:line="240" w:lineRule="auto"/>
        <w:ind w:right="283" w:firstLine="720"/>
        <w:jc w:val="both"/>
        <w:rPr>
          <w:rFonts w:eastAsiaTheme="minorHAnsi" w:cs="Times New Roman"/>
          <w:i/>
          <w:iCs/>
          <w:sz w:val="20"/>
          <w:szCs w:val="20"/>
          <w:lang w:val="uz-Cyrl-UZ"/>
        </w:rPr>
      </w:pPr>
      <w:r w:rsidRPr="0098327B">
        <w:rPr>
          <w:rFonts w:eastAsiaTheme="minorHAnsi" w:cs="Times New Roman"/>
          <w:i/>
          <w:iCs/>
          <w:sz w:val="20"/>
          <w:szCs w:val="20"/>
          <w:lang w:val="uz-Cyrl-UZ"/>
        </w:rPr>
        <w:t>** When assessing the level of corruption risk identified in the activities (tasks and functions) of JSC RSE “Toshkent”, if one of the low-level criteria is present, the level of corruption risk is assessed as low.</w:t>
      </w:r>
    </w:p>
    <w:p w14:paraId="572786CA" w14:textId="2CDD125C" w:rsidR="00570480" w:rsidRPr="0098327B" w:rsidRDefault="00000000" w:rsidP="0098327B">
      <w:pPr>
        <w:spacing w:after="0" w:line="240" w:lineRule="auto"/>
        <w:ind w:right="283" w:firstLine="720"/>
        <w:jc w:val="both"/>
        <w:rPr>
          <w:rFonts w:eastAsiaTheme="minorHAnsi" w:cs="Times New Roman"/>
          <w:i/>
          <w:iCs/>
          <w:sz w:val="20"/>
          <w:szCs w:val="20"/>
          <w:lang w:val="uz-Cyrl-UZ"/>
        </w:rPr>
      </w:pPr>
      <w:r w:rsidRPr="0098327B">
        <w:rPr>
          <w:rFonts w:eastAsiaTheme="minorHAnsi" w:cs="Times New Roman"/>
          <w:i/>
          <w:iCs/>
          <w:sz w:val="20"/>
          <w:szCs w:val="20"/>
          <w:lang w:val="uz-Cyrl-UZ"/>
        </w:rPr>
        <w:t xml:space="preserve">*** The application of Resolution of the President of the Republic of Uzbekistan </w:t>
      </w:r>
      <w:r w:rsidR="00833355">
        <w:rPr>
          <w:rFonts w:eastAsiaTheme="minorHAnsi" w:cs="Times New Roman"/>
          <w:i/>
          <w:iCs/>
          <w:sz w:val="20"/>
          <w:szCs w:val="20"/>
          <w:lang w:val="uz-Cyrl-UZ"/>
        </w:rPr>
        <w:t>№</w:t>
      </w:r>
      <w:r w:rsidRPr="0098327B">
        <w:rPr>
          <w:rFonts w:eastAsiaTheme="minorHAnsi" w:cs="Times New Roman"/>
          <w:i/>
          <w:iCs/>
          <w:sz w:val="20"/>
          <w:szCs w:val="20"/>
          <w:lang w:val="uz-Cyrl-UZ"/>
        </w:rPr>
        <w:t xml:space="preserve"> PP-240 “On Measures to Improve Mechanisms for Eliminating Corruption Risks in the Field of Public Administration and Expanding Public Participation in this Area”, as well as the Resolution of the Ministry of Justice of the Republic of Uzbekistan dated 31.08.2022 “On Approval of the Methodology for Identifying and Assessing Corruption Risks in the Activities of State Authorities and Administration Bodies, Including Their Territorial Subdivisions, State Unitary Enterprises and Institutions, and Organizations with a State Share of More Than 50 Percent” (registered with the Ministry of Justice on 31 August 2022 under </w:t>
      </w:r>
      <w:r w:rsidR="00833355" w:rsidRPr="00833355">
        <w:rPr>
          <w:rFonts w:eastAsiaTheme="minorHAnsi" w:cs="Times New Roman"/>
          <w:i/>
          <w:iCs/>
          <w:sz w:val="20"/>
          <w:szCs w:val="20"/>
        </w:rPr>
        <w:t>№</w:t>
      </w:r>
      <w:r w:rsidRPr="0098327B">
        <w:rPr>
          <w:rFonts w:eastAsiaTheme="minorHAnsi" w:cs="Times New Roman"/>
          <w:i/>
          <w:iCs/>
          <w:sz w:val="20"/>
          <w:szCs w:val="20"/>
          <w:lang w:val="uz-Cyrl-UZ"/>
        </w:rPr>
        <w:t xml:space="preserve"> 3383).</w:t>
      </w:r>
    </w:p>
    <w:sectPr w:rsidR="00570480" w:rsidRPr="0098327B" w:rsidSect="00034616">
      <w:pgSz w:w="11906" w:h="16838"/>
      <w:pgMar w:top="850" w:right="850" w:bottom="850"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AEC1E1C"/>
    <w:multiLevelType w:val="hybridMultilevel"/>
    <w:tmpl w:val="CE508AA4"/>
    <w:lvl w:ilvl="0" w:tplc="721281D8">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99686381">
    <w:abstractNumId w:val="8"/>
  </w:num>
  <w:num w:numId="2" w16cid:durableId="1965840653">
    <w:abstractNumId w:val="6"/>
  </w:num>
  <w:num w:numId="3" w16cid:durableId="1553614095">
    <w:abstractNumId w:val="5"/>
  </w:num>
  <w:num w:numId="4" w16cid:durableId="578103809">
    <w:abstractNumId w:val="4"/>
  </w:num>
  <w:num w:numId="5" w16cid:durableId="1457215393">
    <w:abstractNumId w:val="7"/>
  </w:num>
  <w:num w:numId="6" w16cid:durableId="94911373">
    <w:abstractNumId w:val="3"/>
  </w:num>
  <w:num w:numId="7" w16cid:durableId="1619218109">
    <w:abstractNumId w:val="2"/>
  </w:num>
  <w:num w:numId="8" w16cid:durableId="373890840">
    <w:abstractNumId w:val="1"/>
  </w:num>
  <w:num w:numId="9" w16cid:durableId="834880559">
    <w:abstractNumId w:val="0"/>
  </w:num>
  <w:num w:numId="10" w16cid:durableId="4054187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78BD"/>
    <w:rsid w:val="000E3124"/>
    <w:rsid w:val="0011139A"/>
    <w:rsid w:val="0015074B"/>
    <w:rsid w:val="001E5982"/>
    <w:rsid w:val="0029639D"/>
    <w:rsid w:val="002B2A7B"/>
    <w:rsid w:val="00326F90"/>
    <w:rsid w:val="003E1A1E"/>
    <w:rsid w:val="004C51D0"/>
    <w:rsid w:val="004D4B9E"/>
    <w:rsid w:val="00570480"/>
    <w:rsid w:val="00594526"/>
    <w:rsid w:val="006F25FF"/>
    <w:rsid w:val="007F54A7"/>
    <w:rsid w:val="00833355"/>
    <w:rsid w:val="0098327B"/>
    <w:rsid w:val="00A60CE3"/>
    <w:rsid w:val="00AA1D8D"/>
    <w:rsid w:val="00B46DE2"/>
    <w:rsid w:val="00B47730"/>
    <w:rsid w:val="00B52549"/>
    <w:rsid w:val="00C25B51"/>
    <w:rsid w:val="00CA1F89"/>
    <w:rsid w:val="00CB0664"/>
    <w:rsid w:val="00DF3C9B"/>
    <w:rsid w:val="00EA310F"/>
    <w:rsid w:val="00F4690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65279D"/>
  <w14:defaultImageDpi w14:val="300"/>
  <w15:docId w15:val="{60B91C28-5897-4452-8A27-3F36214D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eastAsia="Times New Roman" w:hAnsi="Times New Roman"/>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9</Pages>
  <Words>2678</Words>
  <Characters>15268</Characters>
  <Application>Microsoft Office Word</Application>
  <DocSecurity>0</DocSecurity>
  <Lines>127</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Regulation on the Assessment of Corruption Risks in JSC RSE Toshkent</vt:lpstr>
      <vt:lpstr/>
    </vt:vector>
  </TitlesOfParts>
  <Manager/>
  <Company/>
  <LinksUpToDate>false</LinksUpToDate>
  <CharactersWithSpaces>17911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Regulation on the Assessment of Corruption Risks in JSC RSE Toshkent</dc:title>
  <dc:subject>English translation</dc:subject>
  <dc:creator/>
  <cp:keywords/>
  <dc:description/>
  <cp:lastModifiedBy>Madinabonu Ilkhomjonova</cp:lastModifiedBy>
  <cp:revision>17</cp:revision>
  <dcterms:created xsi:type="dcterms:W3CDTF">2013-12-23T23:15:00Z</dcterms:created>
  <dcterms:modified xsi:type="dcterms:W3CDTF">2026-06-30T10:51:00Z</dcterms:modified>
  <cp:category/>
</cp:coreProperties>
</file>